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488" w:rsidRPr="005E0488" w:rsidRDefault="005E0488" w:rsidP="005E0488">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bookmarkStart w:id="0" w:name="_GoBack"/>
      <w:r w:rsidRPr="005E0488">
        <w:rPr>
          <w:rFonts w:ascii="Times New Roman" w:eastAsia="Times New Roman" w:hAnsi="Times New Roman" w:cs="Times New Roman"/>
          <w:b/>
          <w:bCs/>
          <w:color w:val="000000"/>
          <w:sz w:val="36"/>
          <w:szCs w:val="36"/>
          <w:lang w:val="en-US" w:eastAsia="ru-RU"/>
        </w:rPr>
        <w:t xml:space="preserve">A SYSTEM FOR ACTIVATION OF THE TRRD DATABASE: FURTHER DEVELOPMENT OF </w:t>
      </w:r>
      <w:r w:rsidRPr="005E0488">
        <w:rPr>
          <w:rFonts w:ascii="Times New Roman" w:eastAsia="Times New Roman" w:hAnsi="Times New Roman" w:cs="Times New Roman"/>
          <w:b/>
          <w:bCs/>
          <w:sz w:val="36"/>
          <w:szCs w:val="36"/>
          <w:lang w:val="en-US" w:eastAsia="ru-RU"/>
        </w:rPr>
        <w:t>GENEEXPRESS</w:t>
      </w:r>
      <w:bookmarkEnd w:id="0"/>
      <w:r w:rsidRPr="005E0488">
        <w:rPr>
          <w:rFonts w:ascii="Times New Roman" w:eastAsia="Times New Roman" w:hAnsi="Times New Roman" w:cs="Times New Roman"/>
          <w:b/>
          <w:bCs/>
          <w:sz w:val="36"/>
          <w:szCs w:val="36"/>
          <w:lang w:val="en-US" w:eastAsia="ru-RU"/>
        </w:rPr>
        <w:t>.</w:t>
      </w:r>
    </w:p>
    <w:p w:rsidR="005E0488" w:rsidRPr="005E0488" w:rsidRDefault="005E0488" w:rsidP="005E0488">
      <w:pPr>
        <w:spacing w:before="100" w:beforeAutospacing="1" w:after="100" w:afterAutospacing="1" w:line="240" w:lineRule="auto"/>
        <w:rPr>
          <w:rFonts w:ascii="Times New Roman" w:eastAsia="Times New Roman" w:hAnsi="Times New Roman" w:cs="Times New Roman"/>
          <w:sz w:val="27"/>
          <w:szCs w:val="27"/>
          <w:lang w:val="en-US" w:eastAsia="ru-RU"/>
        </w:rPr>
      </w:pPr>
      <w:r w:rsidRPr="005E0488">
        <w:rPr>
          <w:rFonts w:ascii="Times New Roman" w:eastAsia="Times New Roman" w:hAnsi="Times New Roman" w:cs="Times New Roman"/>
          <w:sz w:val="27"/>
          <w:szCs w:val="27"/>
          <w:lang w:val="en-US" w:eastAsia="ru-RU"/>
        </w:rPr>
        <w:t>FROLOV A.S</w:t>
      </w:r>
      <w:proofErr w:type="gramStart"/>
      <w:r w:rsidRPr="005E0488">
        <w:rPr>
          <w:rFonts w:ascii="Times New Roman" w:eastAsia="Times New Roman" w:hAnsi="Times New Roman" w:cs="Times New Roman"/>
          <w:sz w:val="27"/>
          <w:szCs w:val="27"/>
          <w:lang w:val="en-US" w:eastAsia="ru-RU"/>
        </w:rPr>
        <w:t>.</w:t>
      </w:r>
      <w:r w:rsidRPr="005E0488">
        <w:rPr>
          <w:rFonts w:ascii="Times New Roman" w:eastAsia="Times New Roman" w:hAnsi="Times New Roman" w:cs="Times New Roman"/>
          <w:sz w:val="27"/>
          <w:szCs w:val="27"/>
          <w:vertAlign w:val="superscript"/>
          <w:lang w:val="en-US" w:eastAsia="ru-RU"/>
        </w:rPr>
        <w:t>#</w:t>
      </w:r>
      <w:proofErr w:type="gramEnd"/>
      <w:r w:rsidRPr="005E0488">
        <w:rPr>
          <w:rFonts w:ascii="Times New Roman" w:eastAsia="Times New Roman" w:hAnsi="Times New Roman" w:cs="Times New Roman"/>
          <w:sz w:val="27"/>
          <w:szCs w:val="27"/>
          <w:lang w:val="en-US" w:eastAsia="ru-RU"/>
        </w:rPr>
        <w:t>, LAVRYUSHEV S.V., VOROBIEV D.G., GRIGOROVICH D.A.</w:t>
      </w:r>
    </w:p>
    <w:p w:rsidR="005E0488" w:rsidRPr="005E0488" w:rsidRDefault="005E0488" w:rsidP="005E0488">
      <w:pPr>
        <w:spacing w:before="100" w:beforeAutospacing="1" w:after="100" w:afterAutospacing="1" w:line="240" w:lineRule="auto"/>
        <w:rPr>
          <w:rFonts w:ascii="Times New Roman" w:eastAsia="Times New Roman" w:hAnsi="Times New Roman" w:cs="Times New Roman"/>
          <w:sz w:val="27"/>
          <w:szCs w:val="27"/>
          <w:lang w:val="en-US" w:eastAsia="ru-RU"/>
        </w:rPr>
      </w:pPr>
      <w:r w:rsidRPr="005E0488">
        <w:rPr>
          <w:rFonts w:ascii="Times New Roman" w:eastAsia="Times New Roman" w:hAnsi="Times New Roman" w:cs="Times New Roman"/>
          <w:sz w:val="27"/>
          <w:szCs w:val="27"/>
          <w:lang w:val="en-US" w:eastAsia="ru-RU"/>
        </w:rPr>
        <w:t>Laboratory of Theoretical Genetics, Institute of Cytology and Genetics, Siberian Branch of the Russian Academy of Sciences, Novosibirsk, 630090 Russia</w:t>
      </w:r>
    </w:p>
    <w:p w:rsidR="005E0488" w:rsidRPr="005E0488" w:rsidRDefault="005E0488" w:rsidP="005E0488">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5E0488">
        <w:rPr>
          <w:rFonts w:ascii="Times New Roman" w:eastAsia="Times New Roman" w:hAnsi="Times New Roman" w:cs="Times New Roman"/>
          <w:sz w:val="24"/>
          <w:szCs w:val="24"/>
          <w:vertAlign w:val="superscript"/>
          <w:lang w:val="en-US" w:eastAsia="ru-RU"/>
        </w:rPr>
        <w:t>#</w:t>
      </w:r>
      <w:proofErr w:type="gramStart"/>
      <w:r w:rsidRPr="005E0488">
        <w:rPr>
          <w:rFonts w:ascii="Times New Roman" w:eastAsia="Times New Roman" w:hAnsi="Times New Roman" w:cs="Times New Roman"/>
          <w:sz w:val="24"/>
          <w:szCs w:val="24"/>
          <w:vertAlign w:val="superscript"/>
          <w:lang w:val="en-US" w:eastAsia="ru-RU"/>
        </w:rPr>
        <w:t>Corresponding</w:t>
      </w:r>
      <w:proofErr w:type="gramEnd"/>
      <w:r w:rsidRPr="005E0488">
        <w:rPr>
          <w:rFonts w:ascii="Times New Roman" w:eastAsia="Times New Roman" w:hAnsi="Times New Roman" w:cs="Times New Roman"/>
          <w:sz w:val="24"/>
          <w:szCs w:val="24"/>
          <w:vertAlign w:val="superscript"/>
          <w:lang w:val="en-US" w:eastAsia="ru-RU"/>
        </w:rPr>
        <w:t xml:space="preserve"> author e-mail: fas@bionet.nsc.ru</w:t>
      </w:r>
    </w:p>
    <w:p w:rsidR="005E0488" w:rsidRPr="005E0488" w:rsidRDefault="005E0488" w:rsidP="005E048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E0488">
        <w:rPr>
          <w:rFonts w:ascii="Times New Roman" w:eastAsia="Times New Roman" w:hAnsi="Times New Roman" w:cs="Times New Roman"/>
          <w:sz w:val="24"/>
          <w:szCs w:val="24"/>
          <w:vertAlign w:val="superscript"/>
          <w:lang w:val="en-US" w:eastAsia="ru-RU"/>
        </w:rPr>
        <w:t>Keywords: promoter recognition</w:t>
      </w:r>
      <w:r w:rsidRPr="005E0488">
        <w:rPr>
          <w:rFonts w:ascii="Times New Roman" w:eastAsia="Times New Roman" w:hAnsi="Times New Roman" w:cs="Times New Roman"/>
          <w:color w:val="000000"/>
          <w:sz w:val="24"/>
          <w:szCs w:val="24"/>
          <w:vertAlign w:val="superscript"/>
          <w:lang w:val="en-US" w:eastAsia="ru-RU"/>
        </w:rPr>
        <w:t>, database activation, transcription regulation, Internet-based recogniton</w:t>
      </w:r>
    </w:p>
    <w:p w:rsidR="005E0488" w:rsidRPr="005E0488" w:rsidRDefault="005E0488" w:rsidP="005E048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E0488">
        <w:rPr>
          <w:rFonts w:ascii="Times New Roman" w:eastAsia="Times New Roman" w:hAnsi="Times New Roman" w:cs="Times New Roman"/>
          <w:color w:val="000000"/>
          <w:sz w:val="24"/>
          <w:szCs w:val="24"/>
          <w:vertAlign w:val="superscript"/>
          <w:lang w:val="en-US" w:eastAsia="ru-RU"/>
        </w:rPr>
        <w:t> </w:t>
      </w:r>
    </w:p>
    <w:p w:rsidR="005E0488" w:rsidRPr="005E0488" w:rsidRDefault="005E0488" w:rsidP="005E048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E0488">
        <w:rPr>
          <w:rFonts w:ascii="Times New Roman" w:eastAsia="Times New Roman" w:hAnsi="Times New Roman" w:cs="Times New Roman"/>
          <w:color w:val="000000"/>
          <w:sz w:val="24"/>
          <w:szCs w:val="24"/>
          <w:vertAlign w:val="superscript"/>
          <w:lang w:val="en-US" w:eastAsia="ru-RU"/>
        </w:rPr>
        <w:t xml:space="preserve">The data on regulation of eukaryotic gene expression </w:t>
      </w:r>
      <w:proofErr w:type="gramStart"/>
      <w:r w:rsidRPr="005E0488">
        <w:rPr>
          <w:rFonts w:ascii="Times New Roman" w:eastAsia="Times New Roman" w:hAnsi="Times New Roman" w:cs="Times New Roman"/>
          <w:color w:val="000000"/>
          <w:sz w:val="24"/>
          <w:szCs w:val="24"/>
          <w:vertAlign w:val="superscript"/>
          <w:lang w:val="en-US" w:eastAsia="ru-RU"/>
        </w:rPr>
        <w:t>is being rapidly accumulated</w:t>
      </w:r>
      <w:proofErr w:type="gramEnd"/>
      <w:r w:rsidRPr="005E0488">
        <w:rPr>
          <w:rFonts w:ascii="Times New Roman" w:eastAsia="Times New Roman" w:hAnsi="Times New Roman" w:cs="Times New Roman"/>
          <w:color w:val="000000"/>
          <w:sz w:val="24"/>
          <w:szCs w:val="24"/>
          <w:vertAlign w:val="superscript"/>
          <w:lang w:val="en-US" w:eastAsia="ru-RU"/>
        </w:rPr>
        <w:t>. Such well-known databases as EPD [Peter, 1998], TRANSFAC [Wingender, 1996], TRRD [Kel A., 1997], COMPEL [Kel O., 1995b], and EpoDB [Salas, 1998] have been developed.</w:t>
      </w:r>
    </w:p>
    <w:p w:rsidR="005E0488" w:rsidRPr="005E0488" w:rsidRDefault="005E0488" w:rsidP="005E048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E0488">
        <w:rPr>
          <w:rFonts w:ascii="Times New Roman" w:eastAsia="Times New Roman" w:hAnsi="Times New Roman" w:cs="Times New Roman"/>
          <w:color w:val="000000"/>
          <w:sz w:val="24"/>
          <w:szCs w:val="24"/>
          <w:vertAlign w:val="superscript"/>
          <w:lang w:val="en-US" w:eastAsia="ru-RU"/>
        </w:rPr>
        <w:t xml:space="preserve">A great number of WWW servers containing similar databases and programs for molecular genetic studies are available worldwide. However, these servers suggest a list of resources that </w:t>
      </w:r>
      <w:proofErr w:type="gramStart"/>
      <w:r w:rsidRPr="005E0488">
        <w:rPr>
          <w:rFonts w:ascii="Times New Roman" w:eastAsia="Times New Roman" w:hAnsi="Times New Roman" w:cs="Times New Roman"/>
          <w:color w:val="000000"/>
          <w:sz w:val="24"/>
          <w:szCs w:val="24"/>
          <w:vertAlign w:val="superscript"/>
          <w:lang w:val="en-US" w:eastAsia="ru-RU"/>
        </w:rPr>
        <w:t>can be used</w:t>
      </w:r>
      <w:proofErr w:type="gramEnd"/>
      <w:r w:rsidRPr="005E0488">
        <w:rPr>
          <w:rFonts w:ascii="Times New Roman" w:eastAsia="Times New Roman" w:hAnsi="Times New Roman" w:cs="Times New Roman"/>
          <w:color w:val="000000"/>
          <w:sz w:val="24"/>
          <w:szCs w:val="24"/>
          <w:vertAlign w:val="superscript"/>
          <w:lang w:val="en-US" w:eastAsia="ru-RU"/>
        </w:rPr>
        <w:t xml:space="preserve"> only independently of one another, whereas a number of molecular genetic problems demand simultaneous employment of several databases and sequential or simultaneous running of several programs. For example, genome </w:t>
      </w:r>
      <w:proofErr w:type="gramStart"/>
      <w:r w:rsidRPr="005E0488">
        <w:rPr>
          <w:rFonts w:ascii="Times New Roman" w:eastAsia="Times New Roman" w:hAnsi="Times New Roman" w:cs="Times New Roman"/>
          <w:color w:val="000000"/>
          <w:sz w:val="24"/>
          <w:szCs w:val="24"/>
          <w:vertAlign w:val="superscript"/>
          <w:lang w:val="en-US" w:eastAsia="ru-RU"/>
        </w:rPr>
        <w:t>annotation</w:t>
      </w:r>
      <w:proofErr w:type="gramEnd"/>
      <w:r w:rsidRPr="005E0488">
        <w:rPr>
          <w:rFonts w:ascii="Times New Roman" w:eastAsia="Times New Roman" w:hAnsi="Times New Roman" w:cs="Times New Roman"/>
          <w:color w:val="000000"/>
          <w:sz w:val="24"/>
          <w:szCs w:val="24"/>
          <w:vertAlign w:val="superscript"/>
          <w:lang w:val="en-US" w:eastAsia="ru-RU"/>
        </w:rPr>
        <w:t xml:space="preserve"> requires the search for homology in GenBank and EMBL databases and/or recognition of functional sites by their patterns using databases on transcription regulation. It is evident that a simple hypertext-based integration would not help to solve this problem.</w:t>
      </w:r>
    </w:p>
    <w:p w:rsidR="005E0488" w:rsidRPr="005E0488" w:rsidRDefault="005E0488" w:rsidP="005E048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E0488">
        <w:rPr>
          <w:rFonts w:ascii="Times New Roman" w:eastAsia="Times New Roman" w:hAnsi="Times New Roman" w:cs="Times New Roman"/>
          <w:color w:val="000000"/>
          <w:sz w:val="24"/>
          <w:szCs w:val="24"/>
          <w:vertAlign w:val="superscript"/>
          <w:lang w:val="en-US" w:eastAsia="ru-RU"/>
        </w:rPr>
        <w:t>The positive experience of information integration accumulated during development and use of the Sequence Retrieval System (SRS) [Etzold, 1993], the system for operation with molecular biological databases; the data are accessible via the Internet.</w:t>
      </w:r>
    </w:p>
    <w:p w:rsidR="005E0488" w:rsidRPr="005E0488" w:rsidRDefault="005E0488" w:rsidP="005E048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E0488">
        <w:rPr>
          <w:rFonts w:ascii="Times New Roman" w:eastAsia="Times New Roman" w:hAnsi="Times New Roman" w:cs="Times New Roman"/>
          <w:color w:val="000000"/>
          <w:sz w:val="24"/>
          <w:szCs w:val="24"/>
          <w:vertAlign w:val="superscript"/>
          <w:lang w:val="en-US" w:eastAsia="ru-RU"/>
        </w:rPr>
        <w:t xml:space="preserve">Such databases as GenBank, EMBL, TRASFAC, and TRRD are now accessible under SRS. It allows these resources to </w:t>
      </w:r>
      <w:proofErr w:type="gramStart"/>
      <w:r w:rsidRPr="005E0488">
        <w:rPr>
          <w:rFonts w:ascii="Times New Roman" w:eastAsia="Times New Roman" w:hAnsi="Times New Roman" w:cs="Times New Roman"/>
          <w:color w:val="000000"/>
          <w:sz w:val="24"/>
          <w:szCs w:val="24"/>
          <w:vertAlign w:val="superscript"/>
          <w:lang w:val="en-US" w:eastAsia="ru-RU"/>
        </w:rPr>
        <w:t>be used</w:t>
      </w:r>
      <w:proofErr w:type="gramEnd"/>
      <w:r w:rsidRPr="005E0488">
        <w:rPr>
          <w:rFonts w:ascii="Times New Roman" w:eastAsia="Times New Roman" w:hAnsi="Times New Roman" w:cs="Times New Roman"/>
          <w:color w:val="000000"/>
          <w:sz w:val="24"/>
          <w:szCs w:val="24"/>
          <w:vertAlign w:val="superscript"/>
          <w:lang w:val="en-US" w:eastAsia="ru-RU"/>
        </w:rPr>
        <w:t xml:space="preserve"> as initial data for creation of the programs for recognition, homology search, etc.</w:t>
      </w:r>
    </w:p>
    <w:p w:rsidR="005E0488" w:rsidRPr="005E0488" w:rsidRDefault="005E0488" w:rsidP="005E048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E0488">
        <w:rPr>
          <w:rFonts w:ascii="Times New Roman" w:eastAsia="Times New Roman" w:hAnsi="Times New Roman" w:cs="Times New Roman"/>
          <w:color w:val="000000"/>
          <w:sz w:val="24"/>
          <w:szCs w:val="24"/>
          <w:vertAlign w:val="superscript"/>
          <w:lang w:val="en-US" w:eastAsia="ru-RU"/>
        </w:rPr>
        <w:t>We proposed the system GeneExpress [Kolchanov et al., 1998] as a first step in realization of the integrated approach to analysis of nucleotide sequences.</w:t>
      </w:r>
    </w:p>
    <w:p w:rsidR="005E0488" w:rsidRPr="005E0488" w:rsidRDefault="005E0488" w:rsidP="005E048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E0488">
        <w:rPr>
          <w:rFonts w:ascii="Times New Roman" w:eastAsia="Times New Roman" w:hAnsi="Times New Roman" w:cs="Times New Roman"/>
          <w:color w:val="000000"/>
          <w:sz w:val="24"/>
          <w:szCs w:val="24"/>
          <w:vertAlign w:val="superscript"/>
          <w:lang w:val="en-US" w:eastAsia="ru-RU"/>
        </w:rPr>
        <w:t xml:space="preserve">The system GeneExpress </w:t>
      </w:r>
      <w:proofErr w:type="gramStart"/>
      <w:r w:rsidRPr="005E0488">
        <w:rPr>
          <w:rFonts w:ascii="Times New Roman" w:eastAsia="Times New Roman" w:hAnsi="Times New Roman" w:cs="Times New Roman"/>
          <w:color w:val="000000"/>
          <w:sz w:val="24"/>
          <w:szCs w:val="24"/>
          <w:vertAlign w:val="superscript"/>
          <w:lang w:val="en-US" w:eastAsia="ru-RU"/>
        </w:rPr>
        <w:t>has been designed</w:t>
      </w:r>
      <w:proofErr w:type="gramEnd"/>
      <w:r w:rsidRPr="005E0488">
        <w:rPr>
          <w:rFonts w:ascii="Times New Roman" w:eastAsia="Times New Roman" w:hAnsi="Times New Roman" w:cs="Times New Roman"/>
          <w:color w:val="000000"/>
          <w:sz w:val="24"/>
          <w:szCs w:val="24"/>
          <w:vertAlign w:val="superscript"/>
          <w:lang w:val="en-US" w:eastAsia="ru-RU"/>
        </w:rPr>
        <w:t xml:space="preserve"> to integrate description, annotation and recognition of eukaryotic regulatory sequences. </w:t>
      </w:r>
      <w:proofErr w:type="gramStart"/>
      <w:r w:rsidRPr="005E0488">
        <w:rPr>
          <w:rFonts w:ascii="Times New Roman" w:eastAsia="Times New Roman" w:hAnsi="Times New Roman" w:cs="Times New Roman"/>
          <w:color w:val="000000"/>
          <w:sz w:val="24"/>
          <w:szCs w:val="24"/>
          <w:vertAlign w:val="superscript"/>
          <w:lang w:val="en-US" w:eastAsia="ru-RU"/>
        </w:rPr>
        <w:t>The system contains the following basic units: (1) </w:t>
      </w:r>
      <w:r w:rsidRPr="005E0488">
        <w:rPr>
          <w:rFonts w:ascii="Times New Roman" w:eastAsia="Times New Roman" w:hAnsi="Times New Roman" w:cs="Times New Roman"/>
          <w:b/>
          <w:bCs/>
          <w:color w:val="000000"/>
          <w:sz w:val="24"/>
          <w:szCs w:val="24"/>
          <w:vertAlign w:val="superscript"/>
          <w:lang w:val="en-US" w:eastAsia="ru-RU"/>
        </w:rPr>
        <w:t>GeneNet</w:t>
      </w:r>
      <w:r w:rsidRPr="005E0488">
        <w:rPr>
          <w:rFonts w:ascii="Times New Roman" w:eastAsia="Times New Roman" w:hAnsi="Times New Roman" w:cs="Times New Roman"/>
          <w:color w:val="000000"/>
          <w:sz w:val="24"/>
          <w:szCs w:val="24"/>
          <w:vertAlign w:val="superscript"/>
          <w:lang w:val="en-US" w:eastAsia="ru-RU"/>
        </w:rPr>
        <w:t> contains an object-oriented database for accumulation of data on gene networks and signal transduction pathways and a Java-based viewer that allows an exploration and visualization of the information on gene networks; (2)</w:t>
      </w:r>
      <w:r w:rsidRPr="005E0488">
        <w:rPr>
          <w:rFonts w:ascii="Times New Roman" w:eastAsia="Times New Roman" w:hAnsi="Times New Roman" w:cs="Times New Roman"/>
          <w:b/>
          <w:bCs/>
          <w:color w:val="000000"/>
          <w:sz w:val="24"/>
          <w:szCs w:val="24"/>
          <w:vertAlign w:val="superscript"/>
          <w:lang w:val="en-US" w:eastAsia="ru-RU"/>
        </w:rPr>
        <w:t> Transcription Regulation </w:t>
      </w:r>
      <w:r w:rsidRPr="005E0488">
        <w:rPr>
          <w:rFonts w:ascii="Times New Roman" w:eastAsia="Times New Roman" w:hAnsi="Times New Roman" w:cs="Times New Roman"/>
          <w:color w:val="000000"/>
          <w:sz w:val="24"/>
          <w:szCs w:val="24"/>
          <w:vertAlign w:val="superscript"/>
          <w:lang w:val="en-US" w:eastAsia="ru-RU"/>
        </w:rPr>
        <w:t>combines</w:t>
      </w:r>
      <w:r w:rsidRPr="005E0488">
        <w:rPr>
          <w:rFonts w:ascii="Times New Roman" w:eastAsia="Times New Roman" w:hAnsi="Times New Roman" w:cs="Times New Roman"/>
          <w:b/>
          <w:bCs/>
          <w:color w:val="000000"/>
          <w:sz w:val="24"/>
          <w:szCs w:val="24"/>
          <w:vertAlign w:val="superscript"/>
          <w:lang w:val="en-US" w:eastAsia="ru-RU"/>
        </w:rPr>
        <w:t> </w:t>
      </w:r>
      <w:r w:rsidRPr="005E0488">
        <w:rPr>
          <w:rFonts w:ascii="Times New Roman" w:eastAsia="Times New Roman" w:hAnsi="Times New Roman" w:cs="Times New Roman"/>
          <w:color w:val="000000"/>
          <w:sz w:val="24"/>
          <w:szCs w:val="24"/>
          <w:vertAlign w:val="superscript"/>
          <w:lang w:val="en-US" w:eastAsia="ru-RU"/>
        </w:rPr>
        <w:t>the database on transcription regulatory regions of eukaryotic genes (</w:t>
      </w:r>
      <w:r w:rsidRPr="005E0488">
        <w:rPr>
          <w:rFonts w:ascii="Times New Roman" w:eastAsia="Times New Roman" w:hAnsi="Times New Roman" w:cs="Times New Roman"/>
          <w:b/>
          <w:bCs/>
          <w:i/>
          <w:iCs/>
          <w:color w:val="000000"/>
          <w:sz w:val="24"/>
          <w:szCs w:val="24"/>
          <w:vertAlign w:val="superscript"/>
          <w:lang w:val="en-US" w:eastAsia="ru-RU"/>
        </w:rPr>
        <w:t>TRRD</w:t>
      </w:r>
      <w:r w:rsidRPr="005E0488">
        <w:rPr>
          <w:rFonts w:ascii="Times New Roman" w:eastAsia="Times New Roman" w:hAnsi="Times New Roman" w:cs="Times New Roman"/>
          <w:color w:val="000000"/>
          <w:sz w:val="24"/>
          <w:szCs w:val="24"/>
          <w:vertAlign w:val="superscript"/>
          <w:lang w:val="en-US" w:eastAsia="ru-RU"/>
        </w:rPr>
        <w:t>) and </w:t>
      </w:r>
      <w:r w:rsidRPr="005E0488">
        <w:rPr>
          <w:rFonts w:ascii="Times New Roman" w:eastAsia="Times New Roman" w:hAnsi="Times New Roman" w:cs="Times New Roman"/>
          <w:b/>
          <w:bCs/>
          <w:color w:val="000000"/>
          <w:sz w:val="24"/>
          <w:szCs w:val="24"/>
          <w:vertAlign w:val="superscript"/>
          <w:lang w:val="en-US" w:eastAsia="ru-RU"/>
        </w:rPr>
        <w:t>TRRD Viewer;</w:t>
      </w:r>
      <w:r w:rsidRPr="005E0488">
        <w:rPr>
          <w:rFonts w:ascii="Times New Roman" w:eastAsia="Times New Roman" w:hAnsi="Times New Roman" w:cs="Times New Roman"/>
          <w:b/>
          <w:bCs/>
          <w:i/>
          <w:iCs/>
          <w:color w:val="000000"/>
          <w:sz w:val="24"/>
          <w:szCs w:val="24"/>
          <w:vertAlign w:val="superscript"/>
          <w:lang w:val="en-US" w:eastAsia="ru-RU"/>
        </w:rPr>
        <w:t> </w:t>
      </w:r>
      <w:r w:rsidRPr="005E0488">
        <w:rPr>
          <w:rFonts w:ascii="Times New Roman" w:eastAsia="Times New Roman" w:hAnsi="Times New Roman" w:cs="Times New Roman"/>
          <w:color w:val="000000"/>
          <w:sz w:val="24"/>
          <w:szCs w:val="24"/>
          <w:vertAlign w:val="superscript"/>
          <w:lang w:val="en-US" w:eastAsia="ru-RU"/>
        </w:rPr>
        <w:t>(3) </w:t>
      </w:r>
      <w:r w:rsidRPr="005E0488">
        <w:rPr>
          <w:rFonts w:ascii="Times New Roman" w:eastAsia="Times New Roman" w:hAnsi="Times New Roman" w:cs="Times New Roman"/>
          <w:b/>
          <w:bCs/>
          <w:color w:val="000000"/>
          <w:sz w:val="24"/>
          <w:szCs w:val="24"/>
          <w:vertAlign w:val="superscript"/>
          <w:lang w:val="en-US" w:eastAsia="ru-RU"/>
        </w:rPr>
        <w:t>Transcription Factor Binding Site Recognition </w:t>
      </w:r>
      <w:r w:rsidRPr="005E0488">
        <w:rPr>
          <w:rFonts w:ascii="Times New Roman" w:eastAsia="Times New Roman" w:hAnsi="Times New Roman" w:cs="Times New Roman"/>
          <w:color w:val="000000"/>
          <w:sz w:val="24"/>
          <w:szCs w:val="24"/>
          <w:vertAlign w:val="superscript"/>
          <w:lang w:val="en-US" w:eastAsia="ru-RU"/>
        </w:rPr>
        <w:t>contains a compilation of transcription factor binding sites (</w:t>
      </w:r>
      <w:r w:rsidRPr="005E0488">
        <w:rPr>
          <w:rFonts w:ascii="Times New Roman" w:eastAsia="Times New Roman" w:hAnsi="Times New Roman" w:cs="Times New Roman"/>
          <w:b/>
          <w:bCs/>
          <w:color w:val="000000"/>
          <w:sz w:val="24"/>
          <w:szCs w:val="24"/>
          <w:vertAlign w:val="superscript"/>
          <w:lang w:val="en-US" w:eastAsia="ru-RU"/>
        </w:rPr>
        <w:t>TFBSC</w:t>
      </w:r>
      <w:r w:rsidRPr="005E0488">
        <w:rPr>
          <w:rFonts w:ascii="Times New Roman" w:eastAsia="Times New Roman" w:hAnsi="Times New Roman" w:cs="Times New Roman"/>
          <w:color w:val="000000"/>
          <w:sz w:val="24"/>
          <w:szCs w:val="24"/>
          <w:vertAlign w:val="superscript"/>
          <w:lang w:val="en-US" w:eastAsia="ru-RU"/>
        </w:rPr>
        <w:t>) and programs for their analysis and recognition; (4)</w:t>
      </w:r>
      <w:r w:rsidRPr="005E0488">
        <w:rPr>
          <w:rFonts w:ascii="Times New Roman" w:eastAsia="Times New Roman" w:hAnsi="Times New Roman" w:cs="Times New Roman"/>
          <w:b/>
          <w:bCs/>
          <w:color w:val="000000"/>
          <w:sz w:val="24"/>
          <w:szCs w:val="24"/>
          <w:vertAlign w:val="superscript"/>
          <w:lang w:val="en-US" w:eastAsia="ru-RU"/>
        </w:rPr>
        <w:t> mRNA Translation</w:t>
      </w:r>
      <w:r w:rsidRPr="005E0488">
        <w:rPr>
          <w:rFonts w:ascii="Times New Roman" w:eastAsia="Times New Roman" w:hAnsi="Times New Roman" w:cs="Times New Roman"/>
          <w:color w:val="000000"/>
          <w:sz w:val="24"/>
          <w:szCs w:val="24"/>
          <w:vertAlign w:val="superscript"/>
          <w:lang w:val="en-US" w:eastAsia="ru-RU"/>
        </w:rPr>
        <w:t> is designed for analysis of structural and contextual properties of mRNA 5’UTRs and prediction of their translation efficiency; and</w:t>
      </w:r>
      <w:r w:rsidRPr="005E0488">
        <w:rPr>
          <w:rFonts w:ascii="Times New Roman" w:eastAsia="Times New Roman" w:hAnsi="Times New Roman" w:cs="Times New Roman"/>
          <w:b/>
          <w:bCs/>
          <w:color w:val="000000"/>
          <w:sz w:val="24"/>
          <w:szCs w:val="24"/>
          <w:vertAlign w:val="superscript"/>
          <w:lang w:val="en-US" w:eastAsia="ru-RU"/>
        </w:rPr>
        <w:t> </w:t>
      </w:r>
      <w:r w:rsidRPr="005E0488">
        <w:rPr>
          <w:rFonts w:ascii="Times New Roman" w:eastAsia="Times New Roman" w:hAnsi="Times New Roman" w:cs="Times New Roman"/>
          <w:color w:val="000000"/>
          <w:sz w:val="24"/>
          <w:szCs w:val="24"/>
          <w:vertAlign w:val="superscript"/>
          <w:lang w:val="en-US" w:eastAsia="ru-RU"/>
        </w:rPr>
        <w:t>(5) </w:t>
      </w:r>
      <w:r w:rsidRPr="005E0488">
        <w:rPr>
          <w:rFonts w:ascii="Times New Roman" w:eastAsia="Times New Roman" w:hAnsi="Times New Roman" w:cs="Times New Roman"/>
          <w:b/>
          <w:bCs/>
          <w:color w:val="000000"/>
          <w:sz w:val="24"/>
          <w:szCs w:val="24"/>
          <w:vertAlign w:val="superscript"/>
          <w:lang w:val="en-US" w:eastAsia="ru-RU"/>
        </w:rPr>
        <w:t>ACTIVITY</w:t>
      </w:r>
      <w:r w:rsidRPr="005E0488">
        <w:rPr>
          <w:rFonts w:ascii="Times New Roman" w:eastAsia="Times New Roman" w:hAnsi="Times New Roman" w:cs="Times New Roman"/>
          <w:color w:val="000000"/>
          <w:sz w:val="24"/>
          <w:szCs w:val="24"/>
          <w:vertAlign w:val="superscript"/>
          <w:lang w:val="en-US" w:eastAsia="ru-RU"/>
        </w:rPr>
        <w:t> is</w:t>
      </w:r>
      <w:r w:rsidRPr="005E0488">
        <w:rPr>
          <w:rFonts w:ascii="Times New Roman" w:eastAsia="Times New Roman" w:hAnsi="Times New Roman" w:cs="Times New Roman"/>
          <w:b/>
          <w:bCs/>
          <w:color w:val="000000"/>
          <w:sz w:val="24"/>
          <w:szCs w:val="24"/>
          <w:vertAlign w:val="superscript"/>
          <w:lang w:val="en-US" w:eastAsia="ru-RU"/>
        </w:rPr>
        <w:t> </w:t>
      </w:r>
      <w:r w:rsidRPr="005E0488">
        <w:rPr>
          <w:rFonts w:ascii="Times New Roman" w:eastAsia="Times New Roman" w:hAnsi="Times New Roman" w:cs="Times New Roman"/>
          <w:color w:val="000000"/>
          <w:sz w:val="24"/>
          <w:szCs w:val="24"/>
          <w:vertAlign w:val="superscript"/>
          <w:lang w:val="en-US" w:eastAsia="ru-RU"/>
        </w:rPr>
        <w:t>the module for analysis and site activity prediction of a given nucleotide sequence.</w:t>
      </w:r>
      <w:proofErr w:type="gramEnd"/>
      <w:r w:rsidRPr="005E0488">
        <w:rPr>
          <w:rFonts w:ascii="Times New Roman" w:eastAsia="Times New Roman" w:hAnsi="Times New Roman" w:cs="Times New Roman"/>
          <w:color w:val="000000"/>
          <w:sz w:val="24"/>
          <w:szCs w:val="24"/>
          <w:vertAlign w:val="superscript"/>
          <w:lang w:val="en-US" w:eastAsia="ru-RU"/>
        </w:rPr>
        <w:t xml:space="preserve"> Integration of these databases in </w:t>
      </w:r>
      <w:r w:rsidRPr="005E0488">
        <w:rPr>
          <w:rFonts w:ascii="Times New Roman" w:eastAsia="Times New Roman" w:hAnsi="Times New Roman" w:cs="Times New Roman"/>
          <w:b/>
          <w:bCs/>
          <w:color w:val="000000"/>
          <w:sz w:val="24"/>
          <w:szCs w:val="24"/>
          <w:vertAlign w:val="superscript"/>
          <w:lang w:val="en-US" w:eastAsia="ru-RU"/>
        </w:rPr>
        <w:t>GeneExpress</w:t>
      </w:r>
      <w:r w:rsidRPr="005E0488">
        <w:rPr>
          <w:rFonts w:ascii="Times New Roman" w:eastAsia="Times New Roman" w:hAnsi="Times New Roman" w:cs="Times New Roman"/>
          <w:color w:val="000000"/>
          <w:sz w:val="24"/>
          <w:szCs w:val="24"/>
          <w:vertAlign w:val="superscript"/>
          <w:lang w:val="en-US" w:eastAsia="ru-RU"/>
        </w:rPr>
        <w:t> </w:t>
      </w:r>
      <w:proofErr w:type="gramStart"/>
      <w:r w:rsidRPr="005E0488">
        <w:rPr>
          <w:rFonts w:ascii="Times New Roman" w:eastAsia="Times New Roman" w:hAnsi="Times New Roman" w:cs="Times New Roman"/>
          <w:color w:val="000000"/>
          <w:sz w:val="24"/>
          <w:szCs w:val="24"/>
          <w:vertAlign w:val="superscript"/>
          <w:lang w:val="en-US" w:eastAsia="ru-RU"/>
        </w:rPr>
        <w:t>is based</w:t>
      </w:r>
      <w:proofErr w:type="gramEnd"/>
      <w:r w:rsidRPr="005E0488">
        <w:rPr>
          <w:rFonts w:ascii="Times New Roman" w:eastAsia="Times New Roman" w:hAnsi="Times New Roman" w:cs="Times New Roman"/>
          <w:color w:val="000000"/>
          <w:sz w:val="24"/>
          <w:szCs w:val="24"/>
          <w:vertAlign w:val="superscript"/>
          <w:lang w:val="en-US" w:eastAsia="ru-RU"/>
        </w:rPr>
        <w:t xml:space="preserve"> on the Sequence Retrieval System (</w:t>
      </w:r>
      <w:r w:rsidRPr="005E0488">
        <w:rPr>
          <w:rFonts w:ascii="Times New Roman" w:eastAsia="Times New Roman" w:hAnsi="Times New Roman" w:cs="Times New Roman"/>
          <w:b/>
          <w:bCs/>
          <w:color w:val="000000"/>
          <w:sz w:val="24"/>
          <w:szCs w:val="24"/>
          <w:vertAlign w:val="superscript"/>
          <w:lang w:val="en-US" w:eastAsia="ru-RU"/>
        </w:rPr>
        <w:t>SRS</w:t>
      </w:r>
      <w:r w:rsidRPr="005E0488">
        <w:rPr>
          <w:rFonts w:ascii="Times New Roman" w:eastAsia="Times New Roman" w:hAnsi="Times New Roman" w:cs="Times New Roman"/>
          <w:color w:val="000000"/>
          <w:sz w:val="24"/>
          <w:szCs w:val="24"/>
          <w:vertAlign w:val="superscript"/>
          <w:lang w:val="en-US" w:eastAsia="ru-RU"/>
        </w:rPr>
        <w:t>) created in the European Bioinformatics Institute.</w:t>
      </w:r>
    </w:p>
    <w:p w:rsidR="005E0488" w:rsidRPr="005E0488" w:rsidRDefault="005E0488" w:rsidP="005E048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E0488">
        <w:rPr>
          <w:rFonts w:ascii="Times New Roman" w:eastAsia="Times New Roman" w:hAnsi="Times New Roman" w:cs="Times New Roman"/>
          <w:color w:val="000000"/>
          <w:sz w:val="24"/>
          <w:szCs w:val="24"/>
          <w:vertAlign w:val="superscript"/>
          <w:lang w:val="en-US" w:eastAsia="ru-RU"/>
        </w:rPr>
        <w:t>The next step in this direction is a superstructure based on GeneExpress that provides the search for promoters of a given type employing the data accumulated in the databases of TRRD [Kel’ et al, 1997] and the recognition methods created basing on sequence sets from the SAMPLES database.</w:t>
      </w:r>
    </w:p>
    <w:p w:rsidR="005E0488" w:rsidRPr="005E0488" w:rsidRDefault="005E0488" w:rsidP="005E048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E0488">
        <w:rPr>
          <w:rFonts w:ascii="Times New Roman" w:eastAsia="Times New Roman" w:hAnsi="Times New Roman" w:cs="Times New Roman"/>
          <w:color w:val="000000"/>
          <w:sz w:val="24"/>
          <w:szCs w:val="24"/>
          <w:vertAlign w:val="superscript"/>
          <w:lang w:val="en-US" w:eastAsia="ru-RU"/>
        </w:rPr>
        <w:t xml:space="preserve">The basic idea on the approach proposed is to </w:t>
      </w:r>
      <w:proofErr w:type="gramStart"/>
      <w:r w:rsidRPr="005E0488">
        <w:rPr>
          <w:rFonts w:ascii="Times New Roman" w:eastAsia="Times New Roman" w:hAnsi="Times New Roman" w:cs="Times New Roman"/>
          <w:color w:val="000000"/>
          <w:sz w:val="24"/>
          <w:szCs w:val="24"/>
          <w:vertAlign w:val="superscript"/>
          <w:lang w:val="en-US" w:eastAsia="ru-RU"/>
        </w:rPr>
        <w:t>used</w:t>
      </w:r>
      <w:proofErr w:type="gramEnd"/>
      <w:r w:rsidRPr="005E0488">
        <w:rPr>
          <w:rFonts w:ascii="Times New Roman" w:eastAsia="Times New Roman" w:hAnsi="Times New Roman" w:cs="Times New Roman"/>
          <w:color w:val="000000"/>
          <w:sz w:val="24"/>
          <w:szCs w:val="24"/>
          <w:vertAlign w:val="superscript"/>
          <w:lang w:val="en-US" w:eastAsia="ru-RU"/>
        </w:rPr>
        <w:t xml:space="preserve"> the information compiled in TRRD as ready-to-use scenarios for promoter recognition. In the simplest case, it allows the regions similar to a given promoter to </w:t>
      </w:r>
      <w:proofErr w:type="gramStart"/>
      <w:r w:rsidRPr="005E0488">
        <w:rPr>
          <w:rFonts w:ascii="Times New Roman" w:eastAsia="Times New Roman" w:hAnsi="Times New Roman" w:cs="Times New Roman"/>
          <w:color w:val="000000"/>
          <w:sz w:val="24"/>
          <w:szCs w:val="24"/>
          <w:vertAlign w:val="superscript"/>
          <w:lang w:val="en-US" w:eastAsia="ru-RU"/>
        </w:rPr>
        <w:t>be detected</w:t>
      </w:r>
      <w:proofErr w:type="gramEnd"/>
      <w:r w:rsidRPr="005E0488">
        <w:rPr>
          <w:rFonts w:ascii="Times New Roman" w:eastAsia="Times New Roman" w:hAnsi="Times New Roman" w:cs="Times New Roman"/>
          <w:color w:val="000000"/>
          <w:sz w:val="24"/>
          <w:szCs w:val="24"/>
          <w:vertAlign w:val="superscript"/>
          <w:lang w:val="en-US" w:eastAsia="ru-RU"/>
        </w:rPr>
        <w:t xml:space="preserve"> in an arbitrary sequence.</w:t>
      </w:r>
    </w:p>
    <w:p w:rsidR="005E0488" w:rsidRPr="005E0488" w:rsidRDefault="005E0488" w:rsidP="005E048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gramStart"/>
      <w:r w:rsidRPr="005E0488">
        <w:rPr>
          <w:rFonts w:ascii="Times New Roman" w:eastAsia="Times New Roman" w:hAnsi="Times New Roman" w:cs="Times New Roman"/>
          <w:color w:val="000000"/>
          <w:sz w:val="24"/>
          <w:szCs w:val="24"/>
          <w:vertAlign w:val="superscript"/>
          <w:lang w:val="en-US" w:eastAsia="ru-RU"/>
        </w:rPr>
        <w:lastRenderedPageBreak/>
        <w:t>Let's</w:t>
      </w:r>
      <w:proofErr w:type="gramEnd"/>
      <w:r w:rsidRPr="005E0488">
        <w:rPr>
          <w:rFonts w:ascii="Times New Roman" w:eastAsia="Times New Roman" w:hAnsi="Times New Roman" w:cs="Times New Roman"/>
          <w:color w:val="000000"/>
          <w:sz w:val="24"/>
          <w:szCs w:val="24"/>
          <w:vertAlign w:val="superscript"/>
          <w:lang w:val="en-US" w:eastAsia="ru-RU"/>
        </w:rPr>
        <w:t xml:space="preserve"> consider the system operation using this simplest situation.</w:t>
      </w:r>
    </w:p>
    <w:p w:rsidR="005E0488" w:rsidRPr="005E0488" w:rsidRDefault="005E0488" w:rsidP="005E048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E0488">
        <w:rPr>
          <w:rFonts w:ascii="Times New Roman" w:eastAsia="Times New Roman" w:hAnsi="Times New Roman" w:cs="Times New Roman"/>
          <w:color w:val="000000"/>
          <w:sz w:val="24"/>
          <w:szCs w:val="24"/>
          <w:vertAlign w:val="superscript"/>
          <w:lang w:val="en-US" w:eastAsia="ru-RU"/>
        </w:rPr>
        <w:t>Let's consider a promoter </w:t>
      </w:r>
      <w:proofErr w:type="gramStart"/>
      <w:r w:rsidRPr="005E0488">
        <w:rPr>
          <w:rFonts w:ascii="Times New Roman" w:eastAsia="Times New Roman" w:hAnsi="Times New Roman" w:cs="Times New Roman"/>
          <w:b/>
          <w:bCs/>
          <w:i/>
          <w:iCs/>
          <w:color w:val="000000"/>
          <w:sz w:val="24"/>
          <w:szCs w:val="24"/>
          <w:vertAlign w:val="superscript"/>
          <w:lang w:val="en-US" w:eastAsia="ru-RU"/>
        </w:rPr>
        <w:t>P{</w:t>
      </w:r>
      <w:proofErr w:type="gramEnd"/>
      <w:r w:rsidRPr="005E0488">
        <w:rPr>
          <w:rFonts w:ascii="Times New Roman" w:eastAsia="Times New Roman" w:hAnsi="Times New Roman" w:cs="Times New Roman"/>
          <w:b/>
          <w:bCs/>
          <w:i/>
          <w:iCs/>
          <w:color w:val="000000"/>
          <w:sz w:val="24"/>
          <w:szCs w:val="24"/>
          <w:vertAlign w:val="superscript"/>
          <w:lang w:val="en-US" w:eastAsia="ru-RU"/>
        </w:rPr>
        <w:t>p</w:t>
      </w:r>
      <w:r w:rsidRPr="005E0488">
        <w:rPr>
          <w:rFonts w:ascii="Times New Roman" w:eastAsia="Times New Roman" w:hAnsi="Times New Roman" w:cs="Times New Roman"/>
          <w:b/>
          <w:bCs/>
          <w:i/>
          <w:iCs/>
          <w:color w:val="000000"/>
          <w:sz w:val="24"/>
          <w:szCs w:val="24"/>
          <w:vertAlign w:val="subscript"/>
          <w:lang w:val="en-US" w:eastAsia="ru-RU"/>
        </w:rPr>
        <w:t>i</w:t>
      </w:r>
      <w:r w:rsidRPr="005E0488">
        <w:rPr>
          <w:rFonts w:ascii="Times New Roman" w:eastAsia="Times New Roman" w:hAnsi="Times New Roman" w:cs="Times New Roman"/>
          <w:b/>
          <w:bCs/>
          <w:i/>
          <w:iCs/>
          <w:color w:val="000000"/>
          <w:sz w:val="24"/>
          <w:szCs w:val="24"/>
          <w:vertAlign w:val="superscript"/>
          <w:lang w:val="en-US" w:eastAsia="ru-RU"/>
        </w:rPr>
        <w:t>}</w:t>
      </w:r>
      <w:r w:rsidRPr="005E0488">
        <w:rPr>
          <w:rFonts w:ascii="Times New Roman" w:eastAsia="Times New Roman" w:hAnsi="Times New Roman" w:cs="Times New Roman"/>
          <w:b/>
          <w:bCs/>
          <w:color w:val="000000"/>
          <w:sz w:val="24"/>
          <w:szCs w:val="24"/>
          <w:vertAlign w:val="superscript"/>
          <w:lang w:val="en-US" w:eastAsia="ru-RU"/>
        </w:rPr>
        <w:t>, </w:t>
      </w:r>
      <w:r w:rsidRPr="005E0488">
        <w:rPr>
          <w:rFonts w:ascii="Times New Roman" w:eastAsia="Times New Roman" w:hAnsi="Times New Roman" w:cs="Times New Roman"/>
          <w:color w:val="000000"/>
          <w:sz w:val="24"/>
          <w:szCs w:val="24"/>
          <w:vertAlign w:val="superscript"/>
          <w:lang w:val="en-US" w:eastAsia="ru-RU"/>
        </w:rPr>
        <w:t>for which the following information is contained in TRRD: it contains </w:t>
      </w:r>
      <w:r w:rsidRPr="005E0488">
        <w:rPr>
          <w:rFonts w:ascii="Times New Roman" w:eastAsia="Times New Roman" w:hAnsi="Times New Roman" w:cs="Times New Roman"/>
          <w:b/>
          <w:bCs/>
          <w:color w:val="000000"/>
          <w:sz w:val="24"/>
          <w:szCs w:val="24"/>
          <w:vertAlign w:val="superscript"/>
          <w:lang w:val="en-US" w:eastAsia="ru-RU"/>
        </w:rPr>
        <w:t>N</w:t>
      </w:r>
      <w:r w:rsidRPr="005E0488">
        <w:rPr>
          <w:rFonts w:ascii="Times New Roman" w:eastAsia="Times New Roman" w:hAnsi="Times New Roman" w:cs="Times New Roman"/>
          <w:color w:val="000000"/>
          <w:sz w:val="24"/>
          <w:szCs w:val="24"/>
          <w:vertAlign w:val="superscript"/>
          <w:lang w:val="en-US" w:eastAsia="ru-RU"/>
        </w:rPr>
        <w:t> known transcription factor binding sites </w:t>
      </w:r>
      <w:r w:rsidRPr="005E0488">
        <w:rPr>
          <w:rFonts w:ascii="Times New Roman" w:eastAsia="Times New Roman" w:hAnsi="Times New Roman" w:cs="Times New Roman"/>
          <w:b/>
          <w:bCs/>
          <w:i/>
          <w:iCs/>
          <w:color w:val="000000"/>
          <w:sz w:val="24"/>
          <w:szCs w:val="24"/>
          <w:vertAlign w:val="superscript"/>
          <w:lang w:val="en-US" w:eastAsia="ru-RU"/>
        </w:rPr>
        <w:t>{(a</w:t>
      </w:r>
      <w:r w:rsidRPr="005E0488">
        <w:rPr>
          <w:rFonts w:ascii="Times New Roman" w:eastAsia="Times New Roman" w:hAnsi="Times New Roman" w:cs="Times New Roman"/>
          <w:b/>
          <w:bCs/>
          <w:i/>
          <w:iCs/>
          <w:color w:val="000000"/>
          <w:sz w:val="24"/>
          <w:szCs w:val="24"/>
          <w:vertAlign w:val="subscript"/>
          <w:lang w:val="en-US" w:eastAsia="ru-RU"/>
        </w:rPr>
        <w:t>n</w:t>
      </w:r>
      <w:r w:rsidRPr="005E0488">
        <w:rPr>
          <w:rFonts w:ascii="Times New Roman" w:eastAsia="Times New Roman" w:hAnsi="Times New Roman" w:cs="Times New Roman"/>
          <w:b/>
          <w:bCs/>
          <w:i/>
          <w:iCs/>
          <w:color w:val="000000"/>
          <w:sz w:val="24"/>
          <w:szCs w:val="24"/>
          <w:vertAlign w:val="superscript"/>
          <w:lang w:val="en-US" w:eastAsia="ru-RU"/>
        </w:rPr>
        <w:t>,b</w:t>
      </w:r>
      <w:r w:rsidRPr="005E0488">
        <w:rPr>
          <w:rFonts w:ascii="Times New Roman" w:eastAsia="Times New Roman" w:hAnsi="Times New Roman" w:cs="Times New Roman"/>
          <w:b/>
          <w:bCs/>
          <w:i/>
          <w:iCs/>
          <w:color w:val="000000"/>
          <w:sz w:val="24"/>
          <w:szCs w:val="24"/>
          <w:vertAlign w:val="subscript"/>
          <w:lang w:val="en-US" w:eastAsia="ru-RU"/>
        </w:rPr>
        <w:t>n</w:t>
      </w:r>
      <w:r w:rsidRPr="005E0488">
        <w:rPr>
          <w:rFonts w:ascii="Times New Roman" w:eastAsia="Times New Roman" w:hAnsi="Times New Roman" w:cs="Times New Roman"/>
          <w:b/>
          <w:bCs/>
          <w:i/>
          <w:iCs/>
          <w:color w:val="000000"/>
          <w:sz w:val="24"/>
          <w:szCs w:val="24"/>
          <w:vertAlign w:val="superscript"/>
          <w:lang w:val="en-US" w:eastAsia="ru-RU"/>
        </w:rPr>
        <w:t>)} </w:t>
      </w:r>
      <w:r w:rsidRPr="005E0488">
        <w:rPr>
          <w:rFonts w:ascii="Times New Roman" w:eastAsia="Times New Roman" w:hAnsi="Times New Roman" w:cs="Times New Roman"/>
          <w:color w:val="000000"/>
          <w:sz w:val="24"/>
          <w:szCs w:val="24"/>
          <w:vertAlign w:val="superscript"/>
          <w:lang w:val="en-US" w:eastAsia="ru-RU"/>
        </w:rPr>
        <w:t>with the site boundaries </w:t>
      </w:r>
      <w:r w:rsidRPr="005E0488">
        <w:rPr>
          <w:rFonts w:ascii="Times New Roman" w:eastAsia="Times New Roman" w:hAnsi="Times New Roman" w:cs="Times New Roman"/>
          <w:b/>
          <w:bCs/>
          <w:color w:val="000000"/>
          <w:sz w:val="24"/>
          <w:szCs w:val="24"/>
          <w:vertAlign w:val="superscript"/>
          <w:lang w:val="en-US" w:eastAsia="ru-RU"/>
        </w:rPr>
        <w:t>a</w:t>
      </w:r>
      <w:r w:rsidRPr="005E0488">
        <w:rPr>
          <w:rFonts w:ascii="Times New Roman" w:eastAsia="Times New Roman" w:hAnsi="Times New Roman" w:cs="Times New Roman"/>
          <w:b/>
          <w:bCs/>
          <w:color w:val="000000"/>
          <w:sz w:val="24"/>
          <w:szCs w:val="24"/>
          <w:vertAlign w:val="subscript"/>
          <w:lang w:val="en-US" w:eastAsia="ru-RU"/>
        </w:rPr>
        <w:t>n</w:t>
      </w:r>
      <w:r w:rsidRPr="005E0488">
        <w:rPr>
          <w:rFonts w:ascii="Times New Roman" w:eastAsia="Times New Roman" w:hAnsi="Times New Roman" w:cs="Times New Roman"/>
          <w:b/>
          <w:bCs/>
          <w:color w:val="000000"/>
          <w:sz w:val="24"/>
          <w:szCs w:val="24"/>
          <w:vertAlign w:val="superscript"/>
          <w:lang w:val="en-US" w:eastAsia="ru-RU"/>
        </w:rPr>
        <w:t> </w:t>
      </w:r>
      <w:r w:rsidRPr="005E0488">
        <w:rPr>
          <w:rFonts w:ascii="Times New Roman" w:eastAsia="Times New Roman" w:hAnsi="Times New Roman" w:cs="Times New Roman"/>
          <w:color w:val="000000"/>
          <w:sz w:val="24"/>
          <w:szCs w:val="24"/>
          <w:vertAlign w:val="superscript"/>
          <w:lang w:val="en-US" w:eastAsia="ru-RU"/>
        </w:rPr>
        <w:t>and</w:t>
      </w:r>
      <w:r w:rsidRPr="005E0488">
        <w:rPr>
          <w:rFonts w:ascii="Times New Roman" w:eastAsia="Times New Roman" w:hAnsi="Times New Roman" w:cs="Times New Roman"/>
          <w:b/>
          <w:bCs/>
          <w:color w:val="000000"/>
          <w:sz w:val="24"/>
          <w:szCs w:val="24"/>
          <w:vertAlign w:val="superscript"/>
          <w:lang w:val="en-US" w:eastAsia="ru-RU"/>
        </w:rPr>
        <w:t> b</w:t>
      </w:r>
      <w:r w:rsidRPr="005E0488">
        <w:rPr>
          <w:rFonts w:ascii="Times New Roman" w:eastAsia="Times New Roman" w:hAnsi="Times New Roman" w:cs="Times New Roman"/>
          <w:b/>
          <w:bCs/>
          <w:color w:val="000000"/>
          <w:sz w:val="24"/>
          <w:szCs w:val="24"/>
          <w:vertAlign w:val="subscript"/>
          <w:lang w:val="en-US" w:eastAsia="ru-RU"/>
        </w:rPr>
        <w:t>n</w:t>
      </w:r>
      <w:r w:rsidRPr="005E0488">
        <w:rPr>
          <w:rFonts w:ascii="Times New Roman" w:eastAsia="Times New Roman" w:hAnsi="Times New Roman" w:cs="Times New Roman"/>
          <w:color w:val="000000"/>
          <w:sz w:val="24"/>
          <w:szCs w:val="24"/>
          <w:vertAlign w:val="superscript"/>
          <w:lang w:val="en-US" w:eastAsia="ru-RU"/>
        </w:rPr>
        <w:t> relative to the transcription start (here </w:t>
      </w:r>
      <w:r w:rsidRPr="005E0488">
        <w:rPr>
          <w:rFonts w:ascii="Times New Roman" w:eastAsia="Times New Roman" w:hAnsi="Times New Roman" w:cs="Times New Roman"/>
          <w:b/>
          <w:bCs/>
          <w:i/>
          <w:iCs/>
          <w:color w:val="000000"/>
          <w:sz w:val="24"/>
          <w:szCs w:val="24"/>
          <w:vertAlign w:val="superscript"/>
          <w:lang w:val="en-US" w:eastAsia="ru-RU"/>
        </w:rPr>
        <w:t>pO{ATGC}, 1&lt;=n&lt;=N</w:t>
      </w:r>
      <w:r w:rsidRPr="005E0488">
        <w:rPr>
          <w:rFonts w:ascii="Times New Roman" w:eastAsia="Times New Roman" w:hAnsi="Times New Roman" w:cs="Times New Roman"/>
          <w:color w:val="000000"/>
          <w:sz w:val="24"/>
          <w:szCs w:val="24"/>
          <w:vertAlign w:val="superscript"/>
          <w:lang w:val="en-US" w:eastAsia="ru-RU"/>
        </w:rPr>
        <w:t>).</w:t>
      </w:r>
    </w:p>
    <w:p w:rsidR="005E0488" w:rsidRPr="005E0488" w:rsidRDefault="005E0488" w:rsidP="005E0488">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5E0488">
        <w:rPr>
          <w:rFonts w:ascii="Times New Roman" w:eastAsia="Times New Roman" w:hAnsi="Times New Roman" w:cs="Times New Roman"/>
          <w:noProof/>
          <w:color w:val="000000"/>
          <w:sz w:val="24"/>
          <w:szCs w:val="24"/>
          <w:vertAlign w:val="superscript"/>
          <w:lang w:eastAsia="ru-RU"/>
        </w:rPr>
        <w:drawing>
          <wp:inline distT="0" distB="0" distL="0" distR="0">
            <wp:extent cx="4554855" cy="2363470"/>
            <wp:effectExtent l="0" t="0" r="0" b="0"/>
            <wp:docPr id="5" name="Рисунок 5" descr="http://www.bionet.nsc.ru/meeting/bgrs/thesis/36/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36/Image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4855" cy="2363470"/>
                    </a:xfrm>
                    <a:prstGeom prst="rect">
                      <a:avLst/>
                    </a:prstGeom>
                    <a:noFill/>
                    <a:ln>
                      <a:noFill/>
                    </a:ln>
                  </pic:spPr>
                </pic:pic>
              </a:graphicData>
            </a:graphic>
          </wp:inline>
        </w:drawing>
      </w:r>
    </w:p>
    <w:p w:rsidR="005E0488" w:rsidRPr="005E0488" w:rsidRDefault="005E0488" w:rsidP="005E048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E0488">
        <w:rPr>
          <w:rFonts w:ascii="Times New Roman" w:eastAsia="Times New Roman" w:hAnsi="Times New Roman" w:cs="Times New Roman"/>
          <w:color w:val="000000"/>
          <w:sz w:val="24"/>
          <w:szCs w:val="24"/>
          <w:vertAlign w:val="superscript"/>
          <w:lang w:val="en-US" w:eastAsia="ru-RU"/>
        </w:rPr>
        <w:t>Fig. 1. Illustration of </w:t>
      </w:r>
      <w:proofErr w:type="gramStart"/>
      <w:r w:rsidRPr="005E0488">
        <w:rPr>
          <w:rFonts w:ascii="Times New Roman" w:eastAsia="Times New Roman" w:hAnsi="Times New Roman" w:cs="Times New Roman"/>
          <w:b/>
          <w:bCs/>
          <w:i/>
          <w:iCs/>
          <w:color w:val="000000"/>
          <w:sz w:val="24"/>
          <w:szCs w:val="24"/>
          <w:vertAlign w:val="superscript"/>
          <w:lang w:val="en-US" w:eastAsia="ru-RU"/>
        </w:rPr>
        <w:t>Score</w:t>
      </w:r>
      <w:r w:rsidRPr="005E0488">
        <w:rPr>
          <w:rFonts w:ascii="Times New Roman" w:eastAsia="Times New Roman" w:hAnsi="Times New Roman" w:cs="Times New Roman"/>
          <w:b/>
          <w:bCs/>
          <w:i/>
          <w:iCs/>
          <w:color w:val="000000"/>
          <w:sz w:val="24"/>
          <w:szCs w:val="24"/>
          <w:vertAlign w:val="subscript"/>
          <w:lang w:val="en-US" w:eastAsia="ru-RU"/>
        </w:rPr>
        <w:t>n</w:t>
      </w:r>
      <w:r w:rsidRPr="005E0488">
        <w:rPr>
          <w:rFonts w:ascii="Times New Roman" w:eastAsia="Times New Roman" w:hAnsi="Times New Roman" w:cs="Times New Roman"/>
          <w:b/>
          <w:bCs/>
          <w:i/>
          <w:iCs/>
          <w:color w:val="000000"/>
          <w:sz w:val="24"/>
          <w:szCs w:val="24"/>
          <w:vertAlign w:val="superscript"/>
          <w:lang w:val="en-US" w:eastAsia="ru-RU"/>
        </w:rPr>
        <w:t>(</w:t>
      </w:r>
      <w:proofErr w:type="gramEnd"/>
      <w:r w:rsidRPr="005E0488">
        <w:rPr>
          <w:rFonts w:ascii="Times New Roman" w:eastAsia="Times New Roman" w:hAnsi="Times New Roman" w:cs="Times New Roman"/>
          <w:b/>
          <w:bCs/>
          <w:i/>
          <w:iCs/>
          <w:color w:val="000000"/>
          <w:sz w:val="24"/>
          <w:szCs w:val="24"/>
          <w:vertAlign w:val="superscript"/>
          <w:lang w:val="en-US" w:eastAsia="ru-RU"/>
        </w:rPr>
        <w:t>i</w:t>
      </w:r>
      <w:r w:rsidRPr="005E0488">
        <w:rPr>
          <w:rFonts w:ascii="Times New Roman" w:eastAsia="Times New Roman" w:hAnsi="Times New Roman" w:cs="Times New Roman"/>
          <w:i/>
          <w:iCs/>
          <w:color w:val="000000"/>
          <w:sz w:val="24"/>
          <w:szCs w:val="24"/>
          <w:vertAlign w:val="superscript"/>
          <w:lang w:val="en-US" w:eastAsia="ru-RU"/>
        </w:rPr>
        <w:t>) </w:t>
      </w:r>
      <w:r w:rsidRPr="005E0488">
        <w:rPr>
          <w:rFonts w:ascii="Times New Roman" w:eastAsia="Times New Roman" w:hAnsi="Times New Roman" w:cs="Times New Roman"/>
          <w:color w:val="000000"/>
          <w:sz w:val="24"/>
          <w:szCs w:val="24"/>
          <w:vertAlign w:val="superscript"/>
          <w:lang w:val="en-US" w:eastAsia="ru-RU"/>
        </w:rPr>
        <w:t>and</w:t>
      </w:r>
      <w:r w:rsidRPr="005E0488">
        <w:rPr>
          <w:rFonts w:ascii="Times New Roman" w:eastAsia="Times New Roman" w:hAnsi="Times New Roman" w:cs="Times New Roman"/>
          <w:i/>
          <w:iCs/>
          <w:color w:val="000000"/>
          <w:sz w:val="24"/>
          <w:szCs w:val="24"/>
          <w:vertAlign w:val="superscript"/>
          <w:lang w:val="en-US" w:eastAsia="ru-RU"/>
        </w:rPr>
        <w:t> </w:t>
      </w:r>
      <w:r w:rsidRPr="005E0488">
        <w:rPr>
          <w:rFonts w:ascii="Times New Roman" w:eastAsia="Times New Roman" w:hAnsi="Times New Roman" w:cs="Times New Roman"/>
          <w:b/>
          <w:bCs/>
          <w:i/>
          <w:iCs/>
          <w:color w:val="000000"/>
          <w:sz w:val="24"/>
          <w:szCs w:val="24"/>
          <w:vertAlign w:val="superscript"/>
          <w:lang w:val="en-US" w:eastAsia="ru-RU"/>
        </w:rPr>
        <w:t>Score(i)</w:t>
      </w:r>
      <w:r w:rsidRPr="005E0488">
        <w:rPr>
          <w:rFonts w:ascii="Times New Roman" w:eastAsia="Times New Roman" w:hAnsi="Times New Roman" w:cs="Times New Roman"/>
          <w:color w:val="000000"/>
          <w:sz w:val="24"/>
          <w:szCs w:val="24"/>
          <w:vertAlign w:val="superscript"/>
          <w:lang w:val="en-US" w:eastAsia="ru-RU"/>
        </w:rPr>
        <w:t> calculation.</w:t>
      </w:r>
    </w:p>
    <w:p w:rsidR="005E0488" w:rsidRPr="005E0488" w:rsidRDefault="005E0488" w:rsidP="005E048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E0488">
        <w:rPr>
          <w:rFonts w:ascii="Times New Roman" w:eastAsia="Times New Roman" w:hAnsi="Times New Roman" w:cs="Times New Roman"/>
          <w:color w:val="000000"/>
          <w:sz w:val="24"/>
          <w:szCs w:val="24"/>
          <w:vertAlign w:val="superscript"/>
          <w:lang w:val="en-US" w:eastAsia="ru-RU"/>
        </w:rPr>
        <w:t> </w:t>
      </w:r>
    </w:p>
    <w:p w:rsidR="005E0488" w:rsidRPr="005E0488" w:rsidRDefault="005E0488" w:rsidP="005E048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E0488">
        <w:rPr>
          <w:rFonts w:ascii="Times New Roman" w:eastAsia="Times New Roman" w:hAnsi="Times New Roman" w:cs="Times New Roman"/>
          <w:color w:val="000000"/>
          <w:sz w:val="24"/>
          <w:szCs w:val="24"/>
          <w:vertAlign w:val="superscript"/>
          <w:lang w:val="en-US" w:eastAsia="ru-RU"/>
        </w:rPr>
        <w:t>The nucleotide sequence </w:t>
      </w:r>
      <w:r w:rsidRPr="005E0488">
        <w:rPr>
          <w:rFonts w:ascii="Times New Roman" w:eastAsia="Times New Roman" w:hAnsi="Times New Roman" w:cs="Times New Roman"/>
          <w:b/>
          <w:bCs/>
          <w:i/>
          <w:iCs/>
          <w:color w:val="000000"/>
          <w:sz w:val="24"/>
          <w:szCs w:val="24"/>
          <w:vertAlign w:val="superscript"/>
          <w:lang w:val="en-US" w:eastAsia="ru-RU"/>
        </w:rPr>
        <w:t>S</w:t>
      </w:r>
      <w:proofErr w:type="gramStart"/>
      <w:r w:rsidRPr="005E0488">
        <w:rPr>
          <w:rFonts w:ascii="Times New Roman" w:eastAsia="Times New Roman" w:hAnsi="Times New Roman" w:cs="Times New Roman"/>
          <w:b/>
          <w:bCs/>
          <w:i/>
          <w:iCs/>
          <w:color w:val="000000"/>
          <w:sz w:val="24"/>
          <w:szCs w:val="24"/>
          <w:vertAlign w:val="superscript"/>
          <w:lang w:val="en-US" w:eastAsia="ru-RU"/>
        </w:rPr>
        <w:t>={</w:t>
      </w:r>
      <w:proofErr w:type="gramEnd"/>
      <w:r w:rsidRPr="005E0488">
        <w:rPr>
          <w:rFonts w:ascii="Times New Roman" w:eastAsia="Times New Roman" w:hAnsi="Times New Roman" w:cs="Times New Roman"/>
          <w:b/>
          <w:bCs/>
          <w:i/>
          <w:iCs/>
          <w:color w:val="000000"/>
          <w:sz w:val="24"/>
          <w:szCs w:val="24"/>
          <w:vertAlign w:val="superscript"/>
          <w:lang w:val="en-US" w:eastAsia="ru-RU"/>
        </w:rPr>
        <w:t>s</w:t>
      </w:r>
      <w:r w:rsidRPr="005E0488">
        <w:rPr>
          <w:rFonts w:ascii="Times New Roman" w:eastAsia="Times New Roman" w:hAnsi="Times New Roman" w:cs="Times New Roman"/>
          <w:b/>
          <w:bCs/>
          <w:i/>
          <w:iCs/>
          <w:color w:val="000000"/>
          <w:sz w:val="24"/>
          <w:szCs w:val="24"/>
          <w:vertAlign w:val="subscript"/>
          <w:lang w:val="en-US" w:eastAsia="ru-RU"/>
        </w:rPr>
        <w:t>i</w:t>
      </w:r>
      <w:r w:rsidRPr="005E0488">
        <w:rPr>
          <w:rFonts w:ascii="Times New Roman" w:eastAsia="Times New Roman" w:hAnsi="Times New Roman" w:cs="Times New Roman"/>
          <w:b/>
          <w:bCs/>
          <w:i/>
          <w:iCs/>
          <w:color w:val="000000"/>
          <w:sz w:val="24"/>
          <w:szCs w:val="24"/>
          <w:vertAlign w:val="superscript"/>
          <w:lang w:val="en-US" w:eastAsia="ru-RU"/>
        </w:rPr>
        <w:t>}</w:t>
      </w:r>
      <w:r w:rsidRPr="005E0488">
        <w:rPr>
          <w:rFonts w:ascii="Times New Roman" w:eastAsia="Times New Roman" w:hAnsi="Times New Roman" w:cs="Times New Roman"/>
          <w:color w:val="000000"/>
          <w:sz w:val="24"/>
          <w:szCs w:val="24"/>
          <w:vertAlign w:val="superscript"/>
          <w:lang w:val="en-US" w:eastAsia="ru-RU"/>
        </w:rPr>
        <w:t> with the length </w:t>
      </w:r>
      <w:r w:rsidRPr="005E0488">
        <w:rPr>
          <w:rFonts w:ascii="Times New Roman" w:eastAsia="Times New Roman" w:hAnsi="Times New Roman" w:cs="Times New Roman"/>
          <w:b/>
          <w:bCs/>
          <w:i/>
          <w:iCs/>
          <w:color w:val="000000"/>
          <w:sz w:val="24"/>
          <w:szCs w:val="24"/>
          <w:vertAlign w:val="superscript"/>
          <w:lang w:val="en-US" w:eastAsia="ru-RU"/>
        </w:rPr>
        <w:t>L </w:t>
      </w:r>
      <w:r w:rsidRPr="005E0488">
        <w:rPr>
          <w:rFonts w:ascii="Times New Roman" w:eastAsia="Times New Roman" w:hAnsi="Times New Roman" w:cs="Times New Roman"/>
          <w:color w:val="000000"/>
          <w:sz w:val="24"/>
          <w:szCs w:val="24"/>
          <w:vertAlign w:val="superscript"/>
          <w:lang w:val="en-US" w:eastAsia="ru-RU"/>
        </w:rPr>
        <w:t>(here</w:t>
      </w:r>
      <w:r w:rsidRPr="005E0488">
        <w:rPr>
          <w:rFonts w:ascii="Times New Roman" w:eastAsia="Times New Roman" w:hAnsi="Times New Roman" w:cs="Times New Roman"/>
          <w:b/>
          <w:bCs/>
          <w:color w:val="000000"/>
          <w:sz w:val="24"/>
          <w:szCs w:val="24"/>
          <w:vertAlign w:val="superscript"/>
          <w:lang w:val="en-US" w:eastAsia="ru-RU"/>
        </w:rPr>
        <w:t> </w:t>
      </w:r>
      <w:r w:rsidRPr="005E0488">
        <w:rPr>
          <w:rFonts w:ascii="Times New Roman" w:eastAsia="Times New Roman" w:hAnsi="Times New Roman" w:cs="Times New Roman"/>
          <w:b/>
          <w:bCs/>
          <w:i/>
          <w:iCs/>
          <w:color w:val="000000"/>
          <w:sz w:val="24"/>
          <w:szCs w:val="24"/>
          <w:vertAlign w:val="superscript"/>
          <w:lang w:val="en-US" w:eastAsia="ru-RU"/>
        </w:rPr>
        <w:t>s</w:t>
      </w:r>
      <w:r w:rsidRPr="005E0488">
        <w:rPr>
          <w:rFonts w:ascii="Times New Roman" w:eastAsia="Times New Roman" w:hAnsi="Times New Roman" w:cs="Times New Roman"/>
          <w:b/>
          <w:bCs/>
          <w:i/>
          <w:iCs/>
          <w:color w:val="000000"/>
          <w:sz w:val="24"/>
          <w:szCs w:val="24"/>
          <w:vertAlign w:val="superscript"/>
          <w:lang w:eastAsia="ru-RU"/>
        </w:rPr>
        <w:t>О</w:t>
      </w:r>
      <w:r w:rsidRPr="005E0488">
        <w:rPr>
          <w:rFonts w:ascii="Times New Roman" w:eastAsia="Times New Roman" w:hAnsi="Times New Roman" w:cs="Times New Roman"/>
          <w:b/>
          <w:bCs/>
          <w:i/>
          <w:iCs/>
          <w:color w:val="000000"/>
          <w:sz w:val="24"/>
          <w:szCs w:val="24"/>
          <w:vertAlign w:val="superscript"/>
          <w:lang w:val="en-US" w:eastAsia="ru-RU"/>
        </w:rPr>
        <w:t>{ATGC}, 1&lt;=i&lt;=</w:t>
      </w:r>
      <w:r w:rsidRPr="005E0488">
        <w:rPr>
          <w:rFonts w:ascii="Times New Roman" w:eastAsia="Times New Roman" w:hAnsi="Times New Roman" w:cs="Times New Roman"/>
          <w:i/>
          <w:iCs/>
          <w:color w:val="000000"/>
          <w:sz w:val="24"/>
          <w:szCs w:val="24"/>
          <w:vertAlign w:val="superscript"/>
          <w:lang w:val="en-US" w:eastAsia="ru-RU"/>
        </w:rPr>
        <w:t>L</w:t>
      </w:r>
      <w:r w:rsidRPr="005E0488">
        <w:rPr>
          <w:rFonts w:ascii="Times New Roman" w:eastAsia="Times New Roman" w:hAnsi="Times New Roman" w:cs="Times New Roman"/>
          <w:color w:val="000000"/>
          <w:sz w:val="24"/>
          <w:szCs w:val="24"/>
          <w:vertAlign w:val="superscript"/>
          <w:lang w:val="en-US" w:eastAsia="ru-RU"/>
        </w:rPr>
        <w:t>) is analyzed to construct the set of </w:t>
      </w:r>
      <w:r w:rsidRPr="005E0488">
        <w:rPr>
          <w:rFonts w:ascii="Times New Roman" w:eastAsia="Times New Roman" w:hAnsi="Times New Roman" w:cs="Times New Roman"/>
          <w:b/>
          <w:bCs/>
          <w:i/>
          <w:iCs/>
          <w:color w:val="000000"/>
          <w:sz w:val="24"/>
          <w:szCs w:val="24"/>
          <w:vertAlign w:val="superscript"/>
          <w:lang w:val="en-US" w:eastAsia="ru-RU"/>
        </w:rPr>
        <w:t>N</w:t>
      </w:r>
      <w:r w:rsidRPr="005E0488">
        <w:rPr>
          <w:rFonts w:ascii="Times New Roman" w:eastAsia="Times New Roman" w:hAnsi="Times New Roman" w:cs="Times New Roman"/>
          <w:color w:val="000000"/>
          <w:sz w:val="24"/>
          <w:szCs w:val="24"/>
          <w:vertAlign w:val="superscript"/>
          <w:lang w:val="en-US" w:eastAsia="ru-RU"/>
        </w:rPr>
        <w:t> similarity profiles </w:t>
      </w:r>
      <w:r w:rsidRPr="005E0488">
        <w:rPr>
          <w:rFonts w:ascii="Times New Roman" w:eastAsia="Times New Roman" w:hAnsi="Times New Roman" w:cs="Times New Roman"/>
          <w:b/>
          <w:bCs/>
          <w:color w:val="000000"/>
          <w:sz w:val="24"/>
          <w:szCs w:val="24"/>
          <w:vertAlign w:val="superscript"/>
          <w:lang w:val="en-US" w:eastAsia="ru-RU"/>
        </w:rPr>
        <w:t>{</w:t>
      </w:r>
      <w:r w:rsidRPr="005E0488">
        <w:rPr>
          <w:rFonts w:ascii="Times New Roman" w:eastAsia="Times New Roman" w:hAnsi="Times New Roman" w:cs="Times New Roman"/>
          <w:b/>
          <w:bCs/>
          <w:i/>
          <w:iCs/>
          <w:color w:val="000000"/>
          <w:sz w:val="24"/>
          <w:szCs w:val="24"/>
          <w:vertAlign w:val="superscript"/>
          <w:lang w:val="en-US" w:eastAsia="ru-RU"/>
        </w:rPr>
        <w:t>Score</w:t>
      </w:r>
      <w:r w:rsidRPr="005E0488">
        <w:rPr>
          <w:rFonts w:ascii="Times New Roman" w:eastAsia="Times New Roman" w:hAnsi="Times New Roman" w:cs="Times New Roman"/>
          <w:b/>
          <w:bCs/>
          <w:i/>
          <w:iCs/>
          <w:color w:val="000000"/>
          <w:sz w:val="24"/>
          <w:szCs w:val="24"/>
          <w:vertAlign w:val="subscript"/>
          <w:lang w:val="en-US" w:eastAsia="ru-RU"/>
        </w:rPr>
        <w:t>n</w:t>
      </w:r>
      <w:r w:rsidRPr="005E0488">
        <w:rPr>
          <w:rFonts w:ascii="Times New Roman" w:eastAsia="Times New Roman" w:hAnsi="Times New Roman" w:cs="Times New Roman"/>
          <w:b/>
          <w:bCs/>
          <w:i/>
          <w:iCs/>
          <w:color w:val="000000"/>
          <w:sz w:val="24"/>
          <w:szCs w:val="24"/>
          <w:vertAlign w:val="superscript"/>
          <w:lang w:val="en-US" w:eastAsia="ru-RU"/>
        </w:rPr>
        <w:t>(i)</w:t>
      </w:r>
      <w:r w:rsidRPr="005E0488">
        <w:rPr>
          <w:rFonts w:ascii="Times New Roman" w:eastAsia="Times New Roman" w:hAnsi="Times New Roman" w:cs="Times New Roman"/>
          <w:b/>
          <w:bCs/>
          <w:color w:val="000000"/>
          <w:sz w:val="24"/>
          <w:szCs w:val="24"/>
          <w:vertAlign w:val="superscript"/>
          <w:lang w:val="en-US" w:eastAsia="ru-RU"/>
        </w:rPr>
        <w:t>}</w:t>
      </w:r>
      <w:r w:rsidRPr="005E0488">
        <w:rPr>
          <w:rFonts w:ascii="Times New Roman" w:eastAsia="Times New Roman" w:hAnsi="Times New Roman" w:cs="Times New Roman"/>
          <w:color w:val="000000"/>
          <w:sz w:val="24"/>
          <w:szCs w:val="24"/>
          <w:vertAlign w:val="superscript"/>
          <w:lang w:val="en-US" w:eastAsia="ru-RU"/>
        </w:rPr>
        <w:t> for each </w:t>
      </w:r>
      <w:r w:rsidRPr="005E0488">
        <w:rPr>
          <w:rFonts w:ascii="Times New Roman" w:eastAsia="Times New Roman" w:hAnsi="Times New Roman" w:cs="Times New Roman"/>
          <w:b/>
          <w:bCs/>
          <w:color w:val="000000"/>
          <w:sz w:val="24"/>
          <w:szCs w:val="24"/>
          <w:vertAlign w:val="superscript"/>
          <w:lang w:val="en-US" w:eastAsia="ru-RU"/>
        </w:rPr>
        <w:t>n</w:t>
      </w:r>
      <w:r w:rsidRPr="005E0488">
        <w:rPr>
          <w:rFonts w:ascii="Times New Roman" w:eastAsia="Times New Roman" w:hAnsi="Times New Roman" w:cs="Times New Roman"/>
          <w:color w:val="000000"/>
          <w:sz w:val="24"/>
          <w:szCs w:val="24"/>
          <w:vertAlign w:val="superscript"/>
          <w:lang w:val="en-US" w:eastAsia="ru-RU"/>
        </w:rPr>
        <w:t>th binding site of this promoter:</w:t>
      </w:r>
    </w:p>
    <w:tbl>
      <w:tblPr>
        <w:tblW w:w="5000" w:type="pct"/>
        <w:tblCellSpacing w:w="0" w:type="dxa"/>
        <w:tblCellMar>
          <w:left w:w="0" w:type="dxa"/>
          <w:right w:w="0" w:type="dxa"/>
        </w:tblCellMar>
        <w:tblLook w:val="04A0" w:firstRow="1" w:lastRow="0" w:firstColumn="1" w:lastColumn="0" w:noHBand="0" w:noVBand="1"/>
      </w:tblPr>
      <w:tblGrid>
        <w:gridCol w:w="7796"/>
        <w:gridCol w:w="1559"/>
      </w:tblGrid>
      <w:tr w:rsidR="005E0488" w:rsidRPr="005E0488" w:rsidTr="005E0488">
        <w:trPr>
          <w:tblCellSpacing w:w="0" w:type="dxa"/>
        </w:trPr>
        <w:tc>
          <w:tcPr>
            <w:tcW w:w="2500" w:type="pct"/>
            <w:vAlign w:val="center"/>
            <w:hideMark/>
          </w:tcPr>
          <w:p w:rsidR="005E0488" w:rsidRPr="005E0488" w:rsidRDefault="005E0488" w:rsidP="005E0488">
            <w:pPr>
              <w:spacing w:after="0" w:line="240" w:lineRule="auto"/>
              <w:rPr>
                <w:rFonts w:ascii="Times New Roman" w:eastAsia="Times New Roman" w:hAnsi="Times New Roman" w:cs="Times New Roman"/>
                <w:sz w:val="24"/>
                <w:szCs w:val="24"/>
                <w:lang w:eastAsia="ru-RU"/>
              </w:rPr>
            </w:pPr>
            <w:r w:rsidRPr="005E0488">
              <w:rPr>
                <w:rFonts w:ascii="Times New Roman" w:eastAsia="Times New Roman" w:hAnsi="Times New Roman" w:cs="Times New Roman"/>
                <w:noProof/>
                <w:sz w:val="24"/>
                <w:szCs w:val="24"/>
                <w:lang w:eastAsia="ru-RU"/>
              </w:rPr>
              <w:drawing>
                <wp:inline distT="0" distB="0" distL="0" distR="0">
                  <wp:extent cx="1742440" cy="526415"/>
                  <wp:effectExtent l="0" t="0" r="0" b="6985"/>
                  <wp:docPr id="4" name="Рисунок 4" descr="http://www.bionet.nsc.ru/meeting/bgrs/thesis/36/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36/Image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2440" cy="526415"/>
                          </a:xfrm>
                          <a:prstGeom prst="rect">
                            <a:avLst/>
                          </a:prstGeom>
                          <a:noFill/>
                          <a:ln>
                            <a:noFill/>
                          </a:ln>
                        </pic:spPr>
                      </pic:pic>
                    </a:graphicData>
                  </a:graphic>
                </wp:inline>
              </w:drawing>
            </w:r>
          </w:p>
        </w:tc>
        <w:tc>
          <w:tcPr>
            <w:tcW w:w="500" w:type="pct"/>
            <w:vAlign w:val="center"/>
            <w:hideMark/>
          </w:tcPr>
          <w:p w:rsidR="005E0488" w:rsidRPr="005E0488" w:rsidRDefault="005E0488" w:rsidP="005E0488">
            <w:pPr>
              <w:spacing w:after="0" w:line="240" w:lineRule="auto"/>
              <w:rPr>
                <w:rFonts w:ascii="Times New Roman" w:eastAsia="Times New Roman" w:hAnsi="Times New Roman" w:cs="Times New Roman"/>
                <w:sz w:val="24"/>
                <w:szCs w:val="24"/>
                <w:lang w:eastAsia="ru-RU"/>
              </w:rPr>
            </w:pPr>
            <w:r w:rsidRPr="005E0488">
              <w:rPr>
                <w:rFonts w:ascii="Times New Roman" w:eastAsia="Times New Roman" w:hAnsi="Times New Roman" w:cs="Times New Roman"/>
                <w:sz w:val="24"/>
                <w:szCs w:val="24"/>
                <w:lang w:eastAsia="ru-RU"/>
              </w:rPr>
              <w:t>(1)</w:t>
            </w:r>
          </w:p>
        </w:tc>
      </w:tr>
    </w:tbl>
    <w:p w:rsidR="005E0488" w:rsidRPr="005E0488" w:rsidRDefault="005E0488" w:rsidP="005E0488">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5E0488">
        <w:rPr>
          <w:rFonts w:ascii="Times New Roman" w:eastAsia="Times New Roman" w:hAnsi="Times New Roman" w:cs="Times New Roman"/>
          <w:color w:val="000000"/>
          <w:sz w:val="24"/>
          <w:szCs w:val="24"/>
          <w:vertAlign w:val="superscript"/>
          <w:lang w:eastAsia="ru-RU"/>
        </w:rPr>
        <w:t>where </w:t>
      </w:r>
      <w:r w:rsidRPr="005E0488">
        <w:rPr>
          <w:rFonts w:ascii="Times New Roman" w:eastAsia="Times New Roman" w:hAnsi="Times New Roman" w:cs="Times New Roman"/>
          <w:noProof/>
          <w:color w:val="000000"/>
          <w:sz w:val="24"/>
          <w:szCs w:val="24"/>
          <w:vertAlign w:val="superscript"/>
          <w:lang w:eastAsia="ru-RU"/>
        </w:rPr>
        <w:drawing>
          <wp:inline distT="0" distB="0" distL="0" distR="0">
            <wp:extent cx="1975485" cy="457200"/>
            <wp:effectExtent l="0" t="0" r="5715" b="0"/>
            <wp:docPr id="3" name="Рисунок 3" descr="http://www.bionet.nsc.ru/meeting/bgrs/thesis/36/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net.nsc.ru/meeting/bgrs/thesis/36/Image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5485" cy="457200"/>
                    </a:xfrm>
                    <a:prstGeom prst="rect">
                      <a:avLst/>
                    </a:prstGeom>
                    <a:noFill/>
                    <a:ln>
                      <a:noFill/>
                    </a:ln>
                  </pic:spPr>
                </pic:pic>
              </a:graphicData>
            </a:graphic>
          </wp:inline>
        </w:drawing>
      </w:r>
    </w:p>
    <w:p w:rsidR="005E0488" w:rsidRPr="005E0488" w:rsidRDefault="005E0488" w:rsidP="005E0488">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5E0488">
        <w:rPr>
          <w:rFonts w:ascii="Times New Roman" w:eastAsia="Times New Roman" w:hAnsi="Times New Roman" w:cs="Times New Roman"/>
          <w:color w:val="000000"/>
          <w:sz w:val="24"/>
          <w:szCs w:val="24"/>
          <w:vertAlign w:val="superscript"/>
          <w:lang w:eastAsia="ru-RU"/>
        </w:rPr>
        <w:t> </w:t>
      </w:r>
    </w:p>
    <w:p w:rsidR="005E0488" w:rsidRPr="005E0488" w:rsidRDefault="005E0488" w:rsidP="005E048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E0488">
        <w:rPr>
          <w:rFonts w:ascii="Times New Roman" w:eastAsia="Times New Roman" w:hAnsi="Times New Roman" w:cs="Times New Roman"/>
          <w:color w:val="000000"/>
          <w:sz w:val="24"/>
          <w:szCs w:val="24"/>
          <w:vertAlign w:val="superscript"/>
          <w:lang w:val="en-US" w:eastAsia="ru-RU"/>
        </w:rPr>
        <w:t>Equation 1 ascribes to the </w:t>
      </w:r>
      <w:r w:rsidRPr="005E0488">
        <w:rPr>
          <w:rFonts w:ascii="Times New Roman" w:eastAsia="Times New Roman" w:hAnsi="Times New Roman" w:cs="Times New Roman"/>
          <w:b/>
          <w:bCs/>
          <w:color w:val="000000"/>
          <w:sz w:val="24"/>
          <w:szCs w:val="24"/>
          <w:vertAlign w:val="superscript"/>
          <w:lang w:val="en-US" w:eastAsia="ru-RU"/>
        </w:rPr>
        <w:t>i</w:t>
      </w:r>
      <w:r w:rsidRPr="005E0488">
        <w:rPr>
          <w:rFonts w:ascii="Times New Roman" w:eastAsia="Times New Roman" w:hAnsi="Times New Roman" w:cs="Times New Roman"/>
          <w:color w:val="000000"/>
          <w:sz w:val="24"/>
          <w:szCs w:val="24"/>
          <w:vertAlign w:val="superscript"/>
          <w:lang w:val="en-US" w:eastAsia="ru-RU"/>
        </w:rPr>
        <w:t>th position of the sequence </w:t>
      </w:r>
      <w:r w:rsidRPr="005E0488">
        <w:rPr>
          <w:rFonts w:ascii="Times New Roman" w:eastAsia="Times New Roman" w:hAnsi="Times New Roman" w:cs="Times New Roman"/>
          <w:b/>
          <w:bCs/>
          <w:color w:val="000000"/>
          <w:sz w:val="24"/>
          <w:szCs w:val="24"/>
          <w:vertAlign w:val="superscript"/>
          <w:lang w:val="en-US" w:eastAsia="ru-RU"/>
        </w:rPr>
        <w:t>S</w:t>
      </w:r>
      <w:r w:rsidRPr="005E0488">
        <w:rPr>
          <w:rFonts w:ascii="Times New Roman" w:eastAsia="Times New Roman" w:hAnsi="Times New Roman" w:cs="Times New Roman"/>
          <w:color w:val="000000"/>
          <w:sz w:val="24"/>
          <w:szCs w:val="24"/>
          <w:vertAlign w:val="superscript"/>
          <w:lang w:val="en-US" w:eastAsia="ru-RU"/>
        </w:rPr>
        <w:t> the number </w:t>
      </w:r>
      <w:r w:rsidRPr="005E0488">
        <w:rPr>
          <w:rFonts w:ascii="Times New Roman" w:eastAsia="Times New Roman" w:hAnsi="Times New Roman" w:cs="Times New Roman"/>
          <w:b/>
          <w:bCs/>
          <w:color w:val="000000"/>
          <w:sz w:val="24"/>
          <w:szCs w:val="24"/>
          <w:vertAlign w:val="superscript"/>
          <w:lang w:val="en-US" w:eastAsia="ru-RU"/>
        </w:rPr>
        <w:t>{</w:t>
      </w:r>
      <w:proofErr w:type="gramStart"/>
      <w:r w:rsidRPr="005E0488">
        <w:rPr>
          <w:rFonts w:ascii="Times New Roman" w:eastAsia="Times New Roman" w:hAnsi="Times New Roman" w:cs="Times New Roman"/>
          <w:b/>
          <w:bCs/>
          <w:i/>
          <w:iCs/>
          <w:color w:val="000000"/>
          <w:sz w:val="24"/>
          <w:szCs w:val="24"/>
          <w:vertAlign w:val="superscript"/>
          <w:lang w:val="en-US" w:eastAsia="ru-RU"/>
        </w:rPr>
        <w:t>Score</w:t>
      </w:r>
      <w:r w:rsidRPr="005E0488">
        <w:rPr>
          <w:rFonts w:ascii="Times New Roman" w:eastAsia="Times New Roman" w:hAnsi="Times New Roman" w:cs="Times New Roman"/>
          <w:b/>
          <w:bCs/>
          <w:i/>
          <w:iCs/>
          <w:color w:val="000000"/>
          <w:sz w:val="24"/>
          <w:szCs w:val="24"/>
          <w:vertAlign w:val="subscript"/>
          <w:lang w:val="en-US" w:eastAsia="ru-RU"/>
        </w:rPr>
        <w:t>n</w:t>
      </w:r>
      <w:r w:rsidRPr="005E0488">
        <w:rPr>
          <w:rFonts w:ascii="Times New Roman" w:eastAsia="Times New Roman" w:hAnsi="Times New Roman" w:cs="Times New Roman"/>
          <w:b/>
          <w:bCs/>
          <w:i/>
          <w:iCs/>
          <w:color w:val="000000"/>
          <w:sz w:val="24"/>
          <w:szCs w:val="24"/>
          <w:vertAlign w:val="superscript"/>
          <w:lang w:val="en-US" w:eastAsia="ru-RU"/>
        </w:rPr>
        <w:t>(</w:t>
      </w:r>
      <w:proofErr w:type="gramEnd"/>
      <w:r w:rsidRPr="005E0488">
        <w:rPr>
          <w:rFonts w:ascii="Times New Roman" w:eastAsia="Times New Roman" w:hAnsi="Times New Roman" w:cs="Times New Roman"/>
          <w:b/>
          <w:bCs/>
          <w:i/>
          <w:iCs/>
          <w:color w:val="000000"/>
          <w:sz w:val="24"/>
          <w:szCs w:val="24"/>
          <w:vertAlign w:val="superscript"/>
          <w:lang w:val="en-US" w:eastAsia="ru-RU"/>
        </w:rPr>
        <w:t>i)</w:t>
      </w:r>
      <w:r w:rsidRPr="005E0488">
        <w:rPr>
          <w:rFonts w:ascii="Times New Roman" w:eastAsia="Times New Roman" w:hAnsi="Times New Roman" w:cs="Times New Roman"/>
          <w:b/>
          <w:bCs/>
          <w:color w:val="000000"/>
          <w:sz w:val="24"/>
          <w:szCs w:val="24"/>
          <w:vertAlign w:val="superscript"/>
          <w:lang w:val="en-US" w:eastAsia="ru-RU"/>
        </w:rPr>
        <w:t>} </w:t>
      </w:r>
      <w:r w:rsidRPr="005E0488">
        <w:rPr>
          <w:rFonts w:ascii="Times New Roman" w:eastAsia="Times New Roman" w:hAnsi="Times New Roman" w:cs="Times New Roman"/>
          <w:color w:val="000000"/>
          <w:sz w:val="24"/>
          <w:szCs w:val="24"/>
          <w:vertAlign w:val="superscript"/>
          <w:lang w:val="en-US" w:eastAsia="ru-RU"/>
        </w:rPr>
        <w:t>of the coincidences of its region with the boundaries </w:t>
      </w:r>
      <w:r w:rsidRPr="005E0488">
        <w:rPr>
          <w:rFonts w:ascii="Times New Roman" w:eastAsia="Times New Roman" w:hAnsi="Times New Roman" w:cs="Times New Roman"/>
          <w:b/>
          <w:bCs/>
          <w:color w:val="000000"/>
          <w:sz w:val="24"/>
          <w:szCs w:val="24"/>
          <w:vertAlign w:val="superscript"/>
          <w:lang w:val="en-US" w:eastAsia="ru-RU"/>
        </w:rPr>
        <w:t>(</w:t>
      </w:r>
      <w:r w:rsidRPr="005E0488">
        <w:rPr>
          <w:rFonts w:ascii="Times New Roman" w:eastAsia="Times New Roman" w:hAnsi="Times New Roman" w:cs="Times New Roman"/>
          <w:b/>
          <w:bCs/>
          <w:i/>
          <w:iCs/>
          <w:color w:val="000000"/>
          <w:sz w:val="24"/>
          <w:szCs w:val="24"/>
          <w:vertAlign w:val="superscript"/>
          <w:lang w:val="en-US" w:eastAsia="ru-RU"/>
        </w:rPr>
        <w:t>i-a</w:t>
      </w:r>
      <w:r w:rsidRPr="005E0488">
        <w:rPr>
          <w:rFonts w:ascii="Times New Roman" w:eastAsia="Times New Roman" w:hAnsi="Times New Roman" w:cs="Times New Roman"/>
          <w:b/>
          <w:bCs/>
          <w:i/>
          <w:iCs/>
          <w:color w:val="000000"/>
          <w:sz w:val="24"/>
          <w:szCs w:val="24"/>
          <w:vertAlign w:val="subscript"/>
          <w:lang w:val="en-US" w:eastAsia="ru-RU"/>
        </w:rPr>
        <w:t>n</w:t>
      </w:r>
      <w:r w:rsidRPr="005E0488">
        <w:rPr>
          <w:rFonts w:ascii="Times New Roman" w:eastAsia="Times New Roman" w:hAnsi="Times New Roman" w:cs="Times New Roman"/>
          <w:b/>
          <w:bCs/>
          <w:i/>
          <w:iCs/>
          <w:color w:val="000000"/>
          <w:sz w:val="24"/>
          <w:szCs w:val="24"/>
          <w:vertAlign w:val="superscript"/>
          <w:lang w:val="en-US" w:eastAsia="ru-RU"/>
        </w:rPr>
        <w:t>, a</w:t>
      </w:r>
      <w:r w:rsidRPr="005E0488">
        <w:rPr>
          <w:rFonts w:ascii="Times New Roman" w:eastAsia="Times New Roman" w:hAnsi="Times New Roman" w:cs="Times New Roman"/>
          <w:b/>
          <w:bCs/>
          <w:i/>
          <w:iCs/>
          <w:color w:val="000000"/>
          <w:sz w:val="24"/>
          <w:szCs w:val="24"/>
          <w:vertAlign w:val="subscript"/>
          <w:lang w:val="en-US" w:eastAsia="ru-RU"/>
        </w:rPr>
        <w:t>i</w:t>
      </w:r>
      <w:r w:rsidRPr="005E0488">
        <w:rPr>
          <w:rFonts w:ascii="Times New Roman" w:eastAsia="Times New Roman" w:hAnsi="Times New Roman" w:cs="Times New Roman"/>
          <w:b/>
          <w:bCs/>
          <w:i/>
          <w:iCs/>
          <w:color w:val="000000"/>
          <w:sz w:val="24"/>
          <w:szCs w:val="24"/>
          <w:vertAlign w:val="superscript"/>
          <w:lang w:val="en-US" w:eastAsia="ru-RU"/>
        </w:rPr>
        <w:t>-b</w:t>
      </w:r>
      <w:r w:rsidRPr="005E0488">
        <w:rPr>
          <w:rFonts w:ascii="Times New Roman" w:eastAsia="Times New Roman" w:hAnsi="Times New Roman" w:cs="Times New Roman"/>
          <w:b/>
          <w:bCs/>
          <w:i/>
          <w:iCs/>
          <w:color w:val="000000"/>
          <w:sz w:val="24"/>
          <w:szCs w:val="24"/>
          <w:vertAlign w:val="subscript"/>
          <w:lang w:val="en-US" w:eastAsia="ru-RU"/>
        </w:rPr>
        <w:t>n</w:t>
      </w:r>
      <w:r w:rsidRPr="005E0488">
        <w:rPr>
          <w:rFonts w:ascii="Times New Roman" w:eastAsia="Times New Roman" w:hAnsi="Times New Roman" w:cs="Times New Roman"/>
          <w:b/>
          <w:bCs/>
          <w:color w:val="000000"/>
          <w:sz w:val="24"/>
          <w:szCs w:val="24"/>
          <w:vertAlign w:val="superscript"/>
          <w:lang w:val="en-US" w:eastAsia="ru-RU"/>
        </w:rPr>
        <w:t>)</w:t>
      </w:r>
      <w:r w:rsidRPr="005E0488">
        <w:rPr>
          <w:rFonts w:ascii="Times New Roman" w:eastAsia="Times New Roman" w:hAnsi="Times New Roman" w:cs="Times New Roman"/>
          <w:color w:val="000000"/>
          <w:sz w:val="24"/>
          <w:szCs w:val="24"/>
          <w:vertAlign w:val="superscript"/>
          <w:lang w:val="en-US" w:eastAsia="ru-RU"/>
        </w:rPr>
        <w:t> with the region of the promoter considered with the boundaries </w:t>
      </w:r>
      <w:r w:rsidRPr="005E0488">
        <w:rPr>
          <w:rFonts w:ascii="Times New Roman" w:eastAsia="Times New Roman" w:hAnsi="Times New Roman" w:cs="Times New Roman"/>
          <w:b/>
          <w:bCs/>
          <w:color w:val="000000"/>
          <w:sz w:val="24"/>
          <w:szCs w:val="24"/>
          <w:vertAlign w:val="superscript"/>
          <w:lang w:val="en-US" w:eastAsia="ru-RU"/>
        </w:rPr>
        <w:t>(</w:t>
      </w:r>
      <w:r w:rsidRPr="005E0488">
        <w:rPr>
          <w:rFonts w:ascii="Times New Roman" w:eastAsia="Times New Roman" w:hAnsi="Times New Roman" w:cs="Times New Roman"/>
          <w:b/>
          <w:bCs/>
          <w:i/>
          <w:iCs/>
          <w:color w:val="000000"/>
          <w:sz w:val="24"/>
          <w:szCs w:val="24"/>
          <w:vertAlign w:val="superscript"/>
          <w:lang w:val="en-US" w:eastAsia="ru-RU"/>
        </w:rPr>
        <w:t>a</w:t>
      </w:r>
      <w:r w:rsidRPr="005E0488">
        <w:rPr>
          <w:rFonts w:ascii="Times New Roman" w:eastAsia="Times New Roman" w:hAnsi="Times New Roman" w:cs="Times New Roman"/>
          <w:b/>
          <w:bCs/>
          <w:i/>
          <w:iCs/>
          <w:color w:val="000000"/>
          <w:sz w:val="24"/>
          <w:szCs w:val="24"/>
          <w:vertAlign w:val="subscript"/>
          <w:lang w:val="en-US" w:eastAsia="ru-RU"/>
        </w:rPr>
        <w:t>n</w:t>
      </w:r>
      <w:r w:rsidRPr="005E0488">
        <w:rPr>
          <w:rFonts w:ascii="Times New Roman" w:eastAsia="Times New Roman" w:hAnsi="Times New Roman" w:cs="Times New Roman"/>
          <w:b/>
          <w:bCs/>
          <w:i/>
          <w:iCs/>
          <w:color w:val="000000"/>
          <w:sz w:val="24"/>
          <w:szCs w:val="24"/>
          <w:vertAlign w:val="superscript"/>
          <w:lang w:val="en-US" w:eastAsia="ru-RU"/>
        </w:rPr>
        <w:t>,b</w:t>
      </w:r>
      <w:r w:rsidRPr="005E0488">
        <w:rPr>
          <w:rFonts w:ascii="Times New Roman" w:eastAsia="Times New Roman" w:hAnsi="Times New Roman" w:cs="Times New Roman"/>
          <w:b/>
          <w:bCs/>
          <w:i/>
          <w:iCs/>
          <w:color w:val="000000"/>
          <w:sz w:val="24"/>
          <w:szCs w:val="24"/>
          <w:vertAlign w:val="subscript"/>
          <w:lang w:val="en-US" w:eastAsia="ru-RU"/>
        </w:rPr>
        <w:t>n</w:t>
      </w:r>
      <w:r w:rsidRPr="005E0488">
        <w:rPr>
          <w:rFonts w:ascii="Times New Roman" w:eastAsia="Times New Roman" w:hAnsi="Times New Roman" w:cs="Times New Roman"/>
          <w:b/>
          <w:bCs/>
          <w:color w:val="000000"/>
          <w:sz w:val="24"/>
          <w:szCs w:val="24"/>
          <w:vertAlign w:val="superscript"/>
          <w:lang w:val="en-US" w:eastAsia="ru-RU"/>
        </w:rPr>
        <w:t>),</w:t>
      </w:r>
      <w:r w:rsidRPr="005E0488">
        <w:rPr>
          <w:rFonts w:ascii="Times New Roman" w:eastAsia="Times New Roman" w:hAnsi="Times New Roman" w:cs="Times New Roman"/>
          <w:color w:val="000000"/>
          <w:sz w:val="24"/>
          <w:szCs w:val="24"/>
          <w:vertAlign w:val="superscript"/>
          <w:lang w:val="en-US" w:eastAsia="ru-RU"/>
        </w:rPr>
        <w:t> that is, with the binding site of each </w:t>
      </w:r>
      <w:r w:rsidRPr="005E0488">
        <w:rPr>
          <w:rFonts w:ascii="Times New Roman" w:eastAsia="Times New Roman" w:hAnsi="Times New Roman" w:cs="Times New Roman"/>
          <w:b/>
          <w:bCs/>
          <w:color w:val="000000"/>
          <w:sz w:val="24"/>
          <w:szCs w:val="24"/>
          <w:vertAlign w:val="superscript"/>
          <w:lang w:val="en-US" w:eastAsia="ru-RU"/>
        </w:rPr>
        <w:t>n</w:t>
      </w:r>
      <w:r w:rsidRPr="005E0488">
        <w:rPr>
          <w:rFonts w:ascii="Times New Roman" w:eastAsia="Times New Roman" w:hAnsi="Times New Roman" w:cs="Times New Roman"/>
          <w:color w:val="000000"/>
          <w:sz w:val="24"/>
          <w:szCs w:val="24"/>
          <w:vertAlign w:val="superscript"/>
          <w:lang w:val="en-US" w:eastAsia="ru-RU"/>
        </w:rPr>
        <w:t>th transcription factor. Then the integral similarity profile </w:t>
      </w:r>
      <w:r w:rsidRPr="005E0488">
        <w:rPr>
          <w:rFonts w:ascii="Times New Roman" w:eastAsia="Times New Roman" w:hAnsi="Times New Roman" w:cs="Times New Roman"/>
          <w:b/>
          <w:bCs/>
          <w:color w:val="000000"/>
          <w:sz w:val="24"/>
          <w:szCs w:val="24"/>
          <w:vertAlign w:val="superscript"/>
          <w:lang w:val="en-US" w:eastAsia="ru-RU"/>
        </w:rPr>
        <w:t>{</w:t>
      </w:r>
      <w:proofErr w:type="gramStart"/>
      <w:r w:rsidRPr="005E0488">
        <w:rPr>
          <w:rFonts w:ascii="Times New Roman" w:eastAsia="Times New Roman" w:hAnsi="Times New Roman" w:cs="Times New Roman"/>
          <w:b/>
          <w:bCs/>
          <w:i/>
          <w:iCs/>
          <w:color w:val="000000"/>
          <w:sz w:val="24"/>
          <w:szCs w:val="24"/>
          <w:vertAlign w:val="superscript"/>
          <w:lang w:val="en-US" w:eastAsia="ru-RU"/>
        </w:rPr>
        <w:t>Score(</w:t>
      </w:r>
      <w:proofErr w:type="gramEnd"/>
      <w:r w:rsidRPr="005E0488">
        <w:rPr>
          <w:rFonts w:ascii="Times New Roman" w:eastAsia="Times New Roman" w:hAnsi="Times New Roman" w:cs="Times New Roman"/>
          <w:b/>
          <w:bCs/>
          <w:i/>
          <w:iCs/>
          <w:color w:val="000000"/>
          <w:sz w:val="24"/>
          <w:szCs w:val="24"/>
          <w:vertAlign w:val="superscript"/>
          <w:lang w:val="en-US" w:eastAsia="ru-RU"/>
        </w:rPr>
        <w:t>i)</w:t>
      </w:r>
      <w:r w:rsidRPr="005E0488">
        <w:rPr>
          <w:rFonts w:ascii="Times New Roman" w:eastAsia="Times New Roman" w:hAnsi="Times New Roman" w:cs="Times New Roman"/>
          <w:b/>
          <w:bCs/>
          <w:color w:val="000000"/>
          <w:sz w:val="24"/>
          <w:szCs w:val="24"/>
          <w:vertAlign w:val="superscript"/>
          <w:lang w:val="en-US" w:eastAsia="ru-RU"/>
        </w:rPr>
        <w:t>}</w:t>
      </w:r>
      <w:r w:rsidRPr="005E0488">
        <w:rPr>
          <w:rFonts w:ascii="Times New Roman" w:eastAsia="Times New Roman" w:hAnsi="Times New Roman" w:cs="Times New Roman"/>
          <w:color w:val="000000"/>
          <w:sz w:val="24"/>
          <w:szCs w:val="24"/>
          <w:vertAlign w:val="superscript"/>
          <w:lang w:val="en-US" w:eastAsia="ru-RU"/>
        </w:rPr>
        <w:t> of this sequence and entire promoter is constructed:</w:t>
      </w:r>
    </w:p>
    <w:tbl>
      <w:tblPr>
        <w:tblW w:w="5000" w:type="pct"/>
        <w:tblCellSpacing w:w="0" w:type="dxa"/>
        <w:tblCellMar>
          <w:left w:w="0" w:type="dxa"/>
          <w:right w:w="0" w:type="dxa"/>
        </w:tblCellMar>
        <w:tblLook w:val="04A0" w:firstRow="1" w:lastRow="0" w:firstColumn="1" w:lastColumn="0" w:noHBand="0" w:noVBand="1"/>
      </w:tblPr>
      <w:tblGrid>
        <w:gridCol w:w="7796"/>
        <w:gridCol w:w="1559"/>
      </w:tblGrid>
      <w:tr w:rsidR="005E0488" w:rsidRPr="005E0488" w:rsidTr="005E0488">
        <w:trPr>
          <w:tblCellSpacing w:w="0" w:type="dxa"/>
        </w:trPr>
        <w:tc>
          <w:tcPr>
            <w:tcW w:w="2500" w:type="pct"/>
            <w:vAlign w:val="center"/>
            <w:hideMark/>
          </w:tcPr>
          <w:p w:rsidR="005E0488" w:rsidRPr="005E0488" w:rsidRDefault="005E0488" w:rsidP="005E0488">
            <w:pPr>
              <w:spacing w:after="0" w:line="240" w:lineRule="auto"/>
              <w:rPr>
                <w:rFonts w:ascii="Times New Roman" w:eastAsia="Times New Roman" w:hAnsi="Times New Roman" w:cs="Times New Roman"/>
                <w:sz w:val="24"/>
                <w:szCs w:val="24"/>
                <w:lang w:eastAsia="ru-RU"/>
              </w:rPr>
            </w:pPr>
            <w:r w:rsidRPr="005E0488">
              <w:rPr>
                <w:rFonts w:ascii="Times New Roman" w:eastAsia="Times New Roman" w:hAnsi="Times New Roman" w:cs="Times New Roman"/>
                <w:noProof/>
                <w:sz w:val="24"/>
                <w:szCs w:val="24"/>
                <w:lang w:eastAsia="ru-RU"/>
              </w:rPr>
              <w:drawing>
                <wp:inline distT="0" distB="0" distL="0" distR="0">
                  <wp:extent cx="2087880" cy="828040"/>
                  <wp:effectExtent l="0" t="0" r="7620" b="0"/>
                  <wp:docPr id="2" name="Рисунок 2" descr="http://www.bionet.nsc.ru/meeting/bgrs/thesis/36/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net.nsc.ru/meeting/bgrs/thesis/36/Image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7880" cy="828040"/>
                          </a:xfrm>
                          <a:prstGeom prst="rect">
                            <a:avLst/>
                          </a:prstGeom>
                          <a:noFill/>
                          <a:ln>
                            <a:noFill/>
                          </a:ln>
                        </pic:spPr>
                      </pic:pic>
                    </a:graphicData>
                  </a:graphic>
                </wp:inline>
              </w:drawing>
            </w:r>
          </w:p>
        </w:tc>
        <w:tc>
          <w:tcPr>
            <w:tcW w:w="500" w:type="pct"/>
            <w:vAlign w:val="center"/>
            <w:hideMark/>
          </w:tcPr>
          <w:p w:rsidR="005E0488" w:rsidRPr="005E0488" w:rsidRDefault="005E0488" w:rsidP="005E0488">
            <w:pPr>
              <w:spacing w:after="0" w:line="240" w:lineRule="auto"/>
              <w:rPr>
                <w:rFonts w:ascii="Times New Roman" w:eastAsia="Times New Roman" w:hAnsi="Times New Roman" w:cs="Times New Roman"/>
                <w:sz w:val="24"/>
                <w:szCs w:val="24"/>
                <w:lang w:eastAsia="ru-RU"/>
              </w:rPr>
            </w:pPr>
            <w:r w:rsidRPr="005E0488">
              <w:rPr>
                <w:rFonts w:ascii="Times New Roman" w:eastAsia="Times New Roman" w:hAnsi="Times New Roman" w:cs="Times New Roman"/>
                <w:sz w:val="24"/>
                <w:szCs w:val="24"/>
                <w:lang w:eastAsia="ru-RU"/>
              </w:rPr>
              <w:t>(2)</w:t>
            </w:r>
          </w:p>
        </w:tc>
      </w:tr>
    </w:tbl>
    <w:p w:rsidR="005E0488" w:rsidRPr="005E0488" w:rsidRDefault="005E0488" w:rsidP="005E0488">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5E0488">
        <w:rPr>
          <w:rFonts w:ascii="Times New Roman" w:eastAsia="Times New Roman" w:hAnsi="Times New Roman" w:cs="Times New Roman"/>
          <w:color w:val="000000"/>
          <w:sz w:val="24"/>
          <w:szCs w:val="24"/>
          <w:vertAlign w:val="superscript"/>
          <w:lang w:eastAsia="ru-RU"/>
        </w:rPr>
        <w:t> </w:t>
      </w:r>
    </w:p>
    <w:p w:rsidR="005E0488" w:rsidRPr="005E0488" w:rsidRDefault="005E0488" w:rsidP="005E048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E0488">
        <w:rPr>
          <w:rFonts w:ascii="Times New Roman" w:eastAsia="Times New Roman" w:hAnsi="Times New Roman" w:cs="Times New Roman"/>
          <w:color w:val="000000"/>
          <w:sz w:val="24"/>
          <w:szCs w:val="24"/>
          <w:vertAlign w:val="superscript"/>
          <w:lang w:val="en-US" w:eastAsia="ru-RU"/>
        </w:rPr>
        <w:t>Equation 2 ascribes to the </w:t>
      </w:r>
      <w:r w:rsidRPr="005E0488">
        <w:rPr>
          <w:rFonts w:ascii="Times New Roman" w:eastAsia="Times New Roman" w:hAnsi="Times New Roman" w:cs="Times New Roman"/>
          <w:b/>
          <w:bCs/>
          <w:color w:val="000000"/>
          <w:sz w:val="24"/>
          <w:szCs w:val="24"/>
          <w:vertAlign w:val="superscript"/>
          <w:lang w:val="en-US" w:eastAsia="ru-RU"/>
        </w:rPr>
        <w:t>i</w:t>
      </w:r>
      <w:r w:rsidRPr="005E0488">
        <w:rPr>
          <w:rFonts w:ascii="Times New Roman" w:eastAsia="Times New Roman" w:hAnsi="Times New Roman" w:cs="Times New Roman"/>
          <w:color w:val="000000"/>
          <w:sz w:val="24"/>
          <w:szCs w:val="24"/>
          <w:vertAlign w:val="superscript"/>
          <w:lang w:val="en-US" w:eastAsia="ru-RU"/>
        </w:rPr>
        <w:t>th position of the sequence </w:t>
      </w:r>
      <w:r w:rsidRPr="005E0488">
        <w:rPr>
          <w:rFonts w:ascii="Times New Roman" w:eastAsia="Times New Roman" w:hAnsi="Times New Roman" w:cs="Times New Roman"/>
          <w:b/>
          <w:bCs/>
          <w:color w:val="000000"/>
          <w:sz w:val="24"/>
          <w:szCs w:val="24"/>
          <w:vertAlign w:val="superscript"/>
          <w:lang w:val="en-US" w:eastAsia="ru-RU"/>
        </w:rPr>
        <w:t>S</w:t>
      </w:r>
      <w:r w:rsidRPr="005E0488">
        <w:rPr>
          <w:rFonts w:ascii="Times New Roman" w:eastAsia="Times New Roman" w:hAnsi="Times New Roman" w:cs="Times New Roman"/>
          <w:color w:val="000000"/>
          <w:sz w:val="24"/>
          <w:szCs w:val="24"/>
          <w:vertAlign w:val="superscript"/>
          <w:lang w:val="en-US" w:eastAsia="ru-RU"/>
        </w:rPr>
        <w:t> the value of the similarity to the transcription start of the promoter </w:t>
      </w:r>
      <w:r w:rsidRPr="005E0488">
        <w:rPr>
          <w:rFonts w:ascii="Times New Roman" w:eastAsia="Times New Roman" w:hAnsi="Times New Roman" w:cs="Times New Roman"/>
          <w:b/>
          <w:bCs/>
          <w:color w:val="000000"/>
          <w:sz w:val="24"/>
          <w:szCs w:val="24"/>
          <w:vertAlign w:val="superscript"/>
          <w:lang w:val="en-US" w:eastAsia="ru-RU"/>
        </w:rPr>
        <w:t>P </w:t>
      </w:r>
      <w:r w:rsidRPr="005E0488">
        <w:rPr>
          <w:rFonts w:ascii="Times New Roman" w:eastAsia="Times New Roman" w:hAnsi="Times New Roman" w:cs="Times New Roman"/>
          <w:color w:val="000000"/>
          <w:sz w:val="24"/>
          <w:szCs w:val="24"/>
          <w:vertAlign w:val="superscript"/>
          <w:lang w:val="en-US" w:eastAsia="ru-RU"/>
        </w:rPr>
        <w:t>considered: the greater is the integral similarity of each of the considered </w:t>
      </w:r>
      <w:r w:rsidRPr="005E0488">
        <w:rPr>
          <w:rFonts w:ascii="Times New Roman" w:eastAsia="Times New Roman" w:hAnsi="Times New Roman" w:cs="Times New Roman"/>
          <w:b/>
          <w:bCs/>
          <w:color w:val="000000"/>
          <w:sz w:val="24"/>
          <w:szCs w:val="24"/>
          <w:vertAlign w:val="superscript"/>
          <w:lang w:val="en-US" w:eastAsia="ru-RU"/>
        </w:rPr>
        <w:t>n</w:t>
      </w:r>
      <w:r w:rsidRPr="005E0488">
        <w:rPr>
          <w:rFonts w:ascii="Times New Roman" w:eastAsia="Times New Roman" w:hAnsi="Times New Roman" w:cs="Times New Roman"/>
          <w:color w:val="000000"/>
          <w:sz w:val="24"/>
          <w:szCs w:val="24"/>
          <w:vertAlign w:val="superscript"/>
          <w:lang w:val="en-US" w:eastAsia="ru-RU"/>
        </w:rPr>
        <w:t>th binding sites of this promoter to this region of this sequence, the greater is the ascribed value.</w:t>
      </w:r>
    </w:p>
    <w:p w:rsidR="005E0488" w:rsidRPr="005E0488" w:rsidRDefault="005E0488" w:rsidP="005E048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E0488">
        <w:rPr>
          <w:rFonts w:ascii="Times New Roman" w:eastAsia="Times New Roman" w:hAnsi="Times New Roman" w:cs="Times New Roman"/>
          <w:color w:val="000000"/>
          <w:sz w:val="24"/>
          <w:szCs w:val="24"/>
          <w:vertAlign w:val="superscript"/>
          <w:lang w:val="en-US" w:eastAsia="ru-RU"/>
        </w:rPr>
        <w:lastRenderedPageBreak/>
        <w:t>Note that in the course of calculations, </w:t>
      </w:r>
      <w:proofErr w:type="gramStart"/>
      <w:r w:rsidRPr="005E0488">
        <w:rPr>
          <w:rFonts w:ascii="Times New Roman" w:eastAsia="Times New Roman" w:hAnsi="Times New Roman" w:cs="Times New Roman"/>
          <w:b/>
          <w:bCs/>
          <w:color w:val="000000"/>
          <w:sz w:val="24"/>
          <w:szCs w:val="24"/>
          <w:vertAlign w:val="superscript"/>
          <w:lang w:val="en-US" w:eastAsia="ru-RU"/>
        </w:rPr>
        <w:t>Score</w:t>
      </w:r>
      <w:r w:rsidRPr="005E0488">
        <w:rPr>
          <w:rFonts w:ascii="Times New Roman" w:eastAsia="Times New Roman" w:hAnsi="Times New Roman" w:cs="Times New Roman"/>
          <w:b/>
          <w:bCs/>
          <w:color w:val="000000"/>
          <w:sz w:val="24"/>
          <w:szCs w:val="24"/>
          <w:vertAlign w:val="subscript"/>
          <w:lang w:val="en-US" w:eastAsia="ru-RU"/>
        </w:rPr>
        <w:t>n</w:t>
      </w:r>
      <w:r w:rsidRPr="005E0488">
        <w:rPr>
          <w:rFonts w:ascii="Times New Roman" w:eastAsia="Times New Roman" w:hAnsi="Times New Roman" w:cs="Times New Roman"/>
          <w:b/>
          <w:bCs/>
          <w:color w:val="000000"/>
          <w:sz w:val="24"/>
          <w:szCs w:val="24"/>
          <w:vertAlign w:val="superscript"/>
          <w:lang w:val="en-US" w:eastAsia="ru-RU"/>
        </w:rPr>
        <w:t>(</w:t>
      </w:r>
      <w:proofErr w:type="gramEnd"/>
      <w:r w:rsidRPr="005E0488">
        <w:rPr>
          <w:rFonts w:ascii="Times New Roman" w:eastAsia="Times New Roman" w:hAnsi="Times New Roman" w:cs="Times New Roman"/>
          <w:b/>
          <w:bCs/>
          <w:color w:val="000000"/>
          <w:sz w:val="24"/>
          <w:szCs w:val="24"/>
          <w:vertAlign w:val="superscript"/>
          <w:lang w:val="en-US" w:eastAsia="ru-RU"/>
        </w:rPr>
        <w:t>i)</w:t>
      </w:r>
      <w:r w:rsidRPr="005E0488">
        <w:rPr>
          <w:rFonts w:ascii="Times New Roman" w:eastAsia="Times New Roman" w:hAnsi="Times New Roman" w:cs="Times New Roman"/>
          <w:color w:val="000000"/>
          <w:sz w:val="24"/>
          <w:szCs w:val="24"/>
          <w:vertAlign w:val="superscript"/>
          <w:lang w:val="en-US" w:eastAsia="ru-RU"/>
        </w:rPr>
        <w:t> is "shifted" along the sequence by a length </w:t>
      </w:r>
      <w:r w:rsidRPr="005E0488">
        <w:rPr>
          <w:rFonts w:ascii="Times New Roman" w:eastAsia="Times New Roman" w:hAnsi="Times New Roman" w:cs="Times New Roman"/>
          <w:b/>
          <w:bCs/>
          <w:color w:val="000000"/>
          <w:sz w:val="24"/>
          <w:szCs w:val="24"/>
          <w:vertAlign w:val="superscript"/>
          <w:lang w:val="en-US" w:eastAsia="ru-RU"/>
        </w:rPr>
        <w:t>(a</w:t>
      </w:r>
      <w:r w:rsidRPr="005E0488">
        <w:rPr>
          <w:rFonts w:ascii="Times New Roman" w:eastAsia="Times New Roman" w:hAnsi="Times New Roman" w:cs="Times New Roman"/>
          <w:b/>
          <w:bCs/>
          <w:color w:val="000000"/>
          <w:sz w:val="24"/>
          <w:szCs w:val="24"/>
          <w:vertAlign w:val="subscript"/>
          <w:lang w:val="en-US" w:eastAsia="ru-RU"/>
        </w:rPr>
        <w:t>n</w:t>
      </w:r>
      <w:r w:rsidRPr="005E0488">
        <w:rPr>
          <w:rFonts w:ascii="Times New Roman" w:eastAsia="Times New Roman" w:hAnsi="Times New Roman" w:cs="Times New Roman"/>
          <w:b/>
          <w:bCs/>
          <w:color w:val="000000"/>
          <w:sz w:val="24"/>
          <w:szCs w:val="24"/>
          <w:vertAlign w:val="superscript"/>
          <w:lang w:val="en-US" w:eastAsia="ru-RU"/>
        </w:rPr>
        <w:t>+b</w:t>
      </w:r>
      <w:r w:rsidRPr="005E0488">
        <w:rPr>
          <w:rFonts w:ascii="Times New Roman" w:eastAsia="Times New Roman" w:hAnsi="Times New Roman" w:cs="Times New Roman"/>
          <w:b/>
          <w:bCs/>
          <w:color w:val="000000"/>
          <w:sz w:val="24"/>
          <w:szCs w:val="24"/>
          <w:vertAlign w:val="subscript"/>
          <w:lang w:val="en-US" w:eastAsia="ru-RU"/>
        </w:rPr>
        <w:t>n</w:t>
      </w:r>
      <w:r w:rsidRPr="005E0488">
        <w:rPr>
          <w:rFonts w:ascii="Times New Roman" w:eastAsia="Times New Roman" w:hAnsi="Times New Roman" w:cs="Times New Roman"/>
          <w:b/>
          <w:bCs/>
          <w:color w:val="000000"/>
          <w:sz w:val="24"/>
          <w:szCs w:val="24"/>
          <w:vertAlign w:val="superscript"/>
          <w:lang w:val="en-US" w:eastAsia="ru-RU"/>
        </w:rPr>
        <w:t>)/2</w:t>
      </w:r>
      <w:r w:rsidRPr="005E0488">
        <w:rPr>
          <w:rFonts w:ascii="Times New Roman" w:eastAsia="Times New Roman" w:hAnsi="Times New Roman" w:cs="Times New Roman"/>
          <w:color w:val="000000"/>
          <w:sz w:val="24"/>
          <w:szCs w:val="24"/>
          <w:vertAlign w:val="superscript"/>
          <w:lang w:val="en-US" w:eastAsia="ru-RU"/>
        </w:rPr>
        <w:t> relative to the </w:t>
      </w:r>
      <w:r w:rsidRPr="005E0488">
        <w:rPr>
          <w:rFonts w:ascii="Times New Roman" w:eastAsia="Times New Roman" w:hAnsi="Times New Roman" w:cs="Times New Roman"/>
          <w:b/>
          <w:bCs/>
          <w:color w:val="000000"/>
          <w:sz w:val="24"/>
          <w:szCs w:val="24"/>
          <w:vertAlign w:val="superscript"/>
          <w:lang w:val="en-US" w:eastAsia="ru-RU"/>
        </w:rPr>
        <w:t>n</w:t>
      </w:r>
      <w:r w:rsidRPr="005E0488">
        <w:rPr>
          <w:rFonts w:ascii="Times New Roman" w:eastAsia="Times New Roman" w:hAnsi="Times New Roman" w:cs="Times New Roman"/>
          <w:color w:val="000000"/>
          <w:sz w:val="24"/>
          <w:szCs w:val="24"/>
          <w:vertAlign w:val="superscript"/>
          <w:lang w:val="en-US" w:eastAsia="ru-RU"/>
        </w:rPr>
        <w:t>th binding site, so that its maximal value coincides with the transcription start (bold horizontal arrows in Fig. 1). Thus, it is not necessary to consider the positions of concrete binding sites while calculating </w:t>
      </w:r>
      <w:proofErr w:type="gramStart"/>
      <w:r w:rsidRPr="005E0488">
        <w:rPr>
          <w:rFonts w:ascii="Times New Roman" w:eastAsia="Times New Roman" w:hAnsi="Times New Roman" w:cs="Times New Roman"/>
          <w:b/>
          <w:bCs/>
          <w:color w:val="000000"/>
          <w:sz w:val="24"/>
          <w:szCs w:val="24"/>
          <w:vertAlign w:val="superscript"/>
          <w:lang w:val="en-US" w:eastAsia="ru-RU"/>
        </w:rPr>
        <w:t>Score</w:t>
      </w:r>
      <w:r w:rsidRPr="005E0488">
        <w:rPr>
          <w:rFonts w:ascii="Times New Roman" w:eastAsia="Times New Roman" w:hAnsi="Times New Roman" w:cs="Times New Roman"/>
          <w:b/>
          <w:bCs/>
          <w:color w:val="000000"/>
          <w:sz w:val="24"/>
          <w:szCs w:val="24"/>
          <w:vertAlign w:val="subscript"/>
          <w:lang w:val="en-US" w:eastAsia="ru-RU"/>
        </w:rPr>
        <w:t>n</w:t>
      </w:r>
      <w:r w:rsidRPr="005E0488">
        <w:rPr>
          <w:rFonts w:ascii="Times New Roman" w:eastAsia="Times New Roman" w:hAnsi="Times New Roman" w:cs="Times New Roman"/>
          <w:b/>
          <w:bCs/>
          <w:color w:val="000000"/>
          <w:sz w:val="24"/>
          <w:szCs w:val="24"/>
          <w:vertAlign w:val="superscript"/>
          <w:lang w:val="en-US" w:eastAsia="ru-RU"/>
        </w:rPr>
        <w:t>(</w:t>
      </w:r>
      <w:proofErr w:type="gramEnd"/>
      <w:r w:rsidRPr="005E0488">
        <w:rPr>
          <w:rFonts w:ascii="Times New Roman" w:eastAsia="Times New Roman" w:hAnsi="Times New Roman" w:cs="Times New Roman"/>
          <w:b/>
          <w:bCs/>
          <w:color w:val="000000"/>
          <w:sz w:val="24"/>
          <w:szCs w:val="24"/>
          <w:vertAlign w:val="superscript"/>
          <w:lang w:val="en-US" w:eastAsia="ru-RU"/>
        </w:rPr>
        <w:t>i)</w:t>
      </w:r>
      <w:r w:rsidRPr="005E0488">
        <w:rPr>
          <w:rFonts w:ascii="Times New Roman" w:eastAsia="Times New Roman" w:hAnsi="Times New Roman" w:cs="Times New Roman"/>
          <w:color w:val="000000"/>
          <w:sz w:val="24"/>
          <w:szCs w:val="24"/>
          <w:vertAlign w:val="superscript"/>
          <w:lang w:val="en-US" w:eastAsia="ru-RU"/>
        </w:rPr>
        <w:t>.</w:t>
      </w:r>
    </w:p>
    <w:p w:rsidR="005E0488" w:rsidRPr="005E0488" w:rsidRDefault="005E0488" w:rsidP="005E048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E0488">
        <w:rPr>
          <w:rFonts w:ascii="Times New Roman" w:eastAsia="Times New Roman" w:hAnsi="Times New Roman" w:cs="Times New Roman"/>
          <w:color w:val="000000"/>
          <w:sz w:val="24"/>
          <w:szCs w:val="24"/>
          <w:vertAlign w:val="superscript"/>
          <w:lang w:val="en-US" w:eastAsia="ru-RU"/>
        </w:rPr>
        <w:t>The </w:t>
      </w:r>
      <w:proofErr w:type="gramStart"/>
      <w:r w:rsidRPr="005E0488">
        <w:rPr>
          <w:rFonts w:ascii="Times New Roman" w:eastAsia="Times New Roman" w:hAnsi="Times New Roman" w:cs="Times New Roman"/>
          <w:b/>
          <w:bCs/>
          <w:color w:val="000000"/>
          <w:sz w:val="24"/>
          <w:szCs w:val="24"/>
          <w:vertAlign w:val="superscript"/>
          <w:lang w:val="en-US" w:eastAsia="ru-RU"/>
        </w:rPr>
        <w:t>Score</w:t>
      </w:r>
      <w:r w:rsidRPr="005E0488">
        <w:rPr>
          <w:rFonts w:ascii="Times New Roman" w:eastAsia="Times New Roman" w:hAnsi="Times New Roman" w:cs="Times New Roman"/>
          <w:b/>
          <w:bCs/>
          <w:color w:val="000000"/>
          <w:sz w:val="24"/>
          <w:szCs w:val="24"/>
          <w:vertAlign w:val="subscript"/>
          <w:lang w:val="en-US" w:eastAsia="ru-RU"/>
        </w:rPr>
        <w:t>n</w:t>
      </w:r>
      <w:r w:rsidRPr="005E0488">
        <w:rPr>
          <w:rFonts w:ascii="Times New Roman" w:eastAsia="Times New Roman" w:hAnsi="Times New Roman" w:cs="Times New Roman"/>
          <w:b/>
          <w:bCs/>
          <w:color w:val="000000"/>
          <w:sz w:val="24"/>
          <w:szCs w:val="24"/>
          <w:vertAlign w:val="superscript"/>
          <w:lang w:val="en-US" w:eastAsia="ru-RU"/>
        </w:rPr>
        <w:t>(</w:t>
      </w:r>
      <w:proofErr w:type="gramEnd"/>
      <w:r w:rsidRPr="005E0488">
        <w:rPr>
          <w:rFonts w:ascii="Times New Roman" w:eastAsia="Times New Roman" w:hAnsi="Times New Roman" w:cs="Times New Roman"/>
          <w:b/>
          <w:bCs/>
          <w:color w:val="000000"/>
          <w:sz w:val="24"/>
          <w:szCs w:val="24"/>
          <w:vertAlign w:val="superscript"/>
          <w:lang w:val="en-US" w:eastAsia="ru-RU"/>
        </w:rPr>
        <w:t>i)</w:t>
      </w:r>
      <w:r w:rsidRPr="005E0488">
        <w:rPr>
          <w:rFonts w:ascii="Times New Roman" w:eastAsia="Times New Roman" w:hAnsi="Times New Roman" w:cs="Times New Roman"/>
          <w:color w:val="000000"/>
          <w:sz w:val="24"/>
          <w:szCs w:val="24"/>
          <w:vertAlign w:val="superscript"/>
          <w:lang w:val="en-US" w:eastAsia="ru-RU"/>
        </w:rPr>
        <w:t> is used to predict the potential transcription starts in the sequence </w:t>
      </w:r>
      <w:r w:rsidRPr="005E0488">
        <w:rPr>
          <w:rFonts w:ascii="Times New Roman" w:eastAsia="Times New Roman" w:hAnsi="Times New Roman" w:cs="Times New Roman"/>
          <w:b/>
          <w:bCs/>
          <w:color w:val="000000"/>
          <w:sz w:val="24"/>
          <w:szCs w:val="24"/>
          <w:vertAlign w:val="superscript"/>
          <w:lang w:val="en-US" w:eastAsia="ru-RU"/>
        </w:rPr>
        <w:t>S</w:t>
      </w:r>
      <w:r w:rsidRPr="005E0488">
        <w:rPr>
          <w:rFonts w:ascii="Times New Roman" w:eastAsia="Times New Roman" w:hAnsi="Times New Roman" w:cs="Times New Roman"/>
          <w:color w:val="000000"/>
          <w:sz w:val="24"/>
          <w:szCs w:val="24"/>
          <w:vertAlign w:val="superscript"/>
          <w:lang w:val="en-US" w:eastAsia="ru-RU"/>
        </w:rPr>
        <w:t> as follows. The mean value</w:t>
      </w:r>
      <w:r w:rsidRPr="005E0488">
        <w:rPr>
          <w:rFonts w:ascii="Times New Roman" w:eastAsia="Times New Roman" w:hAnsi="Times New Roman" w:cs="Times New Roman"/>
          <w:b/>
          <w:bCs/>
          <w:color w:val="000000"/>
          <w:sz w:val="24"/>
          <w:szCs w:val="24"/>
          <w:vertAlign w:val="superscript"/>
          <w:lang w:val="en-US" w:eastAsia="ru-RU"/>
        </w:rPr>
        <w:t> M</w:t>
      </w:r>
      <w:r w:rsidRPr="005E0488">
        <w:rPr>
          <w:rFonts w:ascii="Times New Roman" w:eastAsia="Times New Roman" w:hAnsi="Times New Roman" w:cs="Times New Roman"/>
          <w:color w:val="000000"/>
          <w:sz w:val="24"/>
          <w:szCs w:val="24"/>
          <w:vertAlign w:val="superscript"/>
          <w:lang w:val="en-US" w:eastAsia="ru-RU"/>
        </w:rPr>
        <w:t> and standard deviation </w:t>
      </w:r>
      <w:r w:rsidRPr="005E0488">
        <w:rPr>
          <w:rFonts w:ascii="Times New Roman" w:eastAsia="Times New Roman" w:hAnsi="Times New Roman" w:cs="Times New Roman"/>
          <w:b/>
          <w:bCs/>
          <w:color w:val="000000"/>
          <w:sz w:val="24"/>
          <w:szCs w:val="24"/>
          <w:vertAlign w:val="superscript"/>
          <w:lang w:val="en-US" w:eastAsia="ru-RU"/>
        </w:rPr>
        <w:t>s</w:t>
      </w:r>
      <w:r w:rsidRPr="005E0488">
        <w:rPr>
          <w:rFonts w:ascii="Times New Roman" w:eastAsia="Times New Roman" w:hAnsi="Times New Roman" w:cs="Times New Roman"/>
          <w:color w:val="000000"/>
          <w:sz w:val="24"/>
          <w:szCs w:val="24"/>
          <w:vertAlign w:val="superscript"/>
          <w:lang w:val="en-US" w:eastAsia="ru-RU"/>
        </w:rPr>
        <w:t> are calculated and used to find the region with the borders </w:t>
      </w:r>
      <w:r w:rsidRPr="005E0488">
        <w:rPr>
          <w:rFonts w:ascii="Times New Roman" w:eastAsia="Times New Roman" w:hAnsi="Times New Roman" w:cs="Times New Roman"/>
          <w:b/>
          <w:bCs/>
          <w:i/>
          <w:iCs/>
          <w:color w:val="000000"/>
          <w:sz w:val="24"/>
          <w:szCs w:val="24"/>
          <w:vertAlign w:val="superscript"/>
          <w:lang w:val="en-US" w:eastAsia="ru-RU"/>
        </w:rPr>
        <w:t>{c,d}</w:t>
      </w:r>
      <w:r w:rsidRPr="005E0488">
        <w:rPr>
          <w:rFonts w:ascii="Times New Roman" w:eastAsia="Times New Roman" w:hAnsi="Times New Roman" w:cs="Times New Roman"/>
          <w:color w:val="000000"/>
          <w:sz w:val="24"/>
          <w:szCs w:val="24"/>
          <w:vertAlign w:val="superscript"/>
          <w:lang w:val="en-US" w:eastAsia="ru-RU"/>
        </w:rPr>
        <w:t> within which the value </w:t>
      </w:r>
      <w:r w:rsidRPr="005E0488">
        <w:rPr>
          <w:rFonts w:ascii="Times New Roman" w:eastAsia="Times New Roman" w:hAnsi="Times New Roman" w:cs="Times New Roman"/>
          <w:b/>
          <w:bCs/>
          <w:color w:val="000000"/>
          <w:sz w:val="24"/>
          <w:szCs w:val="24"/>
          <w:vertAlign w:val="superscript"/>
          <w:lang w:val="en-US" w:eastAsia="ru-RU"/>
        </w:rPr>
        <w:t>Score</w:t>
      </w:r>
      <w:r w:rsidRPr="005E0488">
        <w:rPr>
          <w:rFonts w:ascii="Times New Roman" w:eastAsia="Times New Roman" w:hAnsi="Times New Roman" w:cs="Times New Roman"/>
          <w:b/>
          <w:bCs/>
          <w:color w:val="000000"/>
          <w:sz w:val="24"/>
          <w:szCs w:val="24"/>
          <w:vertAlign w:val="subscript"/>
          <w:lang w:val="en-US" w:eastAsia="ru-RU"/>
        </w:rPr>
        <w:t>n</w:t>
      </w:r>
      <w:r w:rsidRPr="005E0488">
        <w:rPr>
          <w:rFonts w:ascii="Times New Roman" w:eastAsia="Times New Roman" w:hAnsi="Times New Roman" w:cs="Times New Roman"/>
          <w:b/>
          <w:bCs/>
          <w:color w:val="000000"/>
          <w:sz w:val="24"/>
          <w:szCs w:val="24"/>
          <w:vertAlign w:val="superscript"/>
          <w:lang w:val="en-US" w:eastAsia="ru-RU"/>
        </w:rPr>
        <w:t>(i) </w:t>
      </w:r>
      <w:r w:rsidRPr="005E0488">
        <w:rPr>
          <w:rFonts w:ascii="Times New Roman" w:eastAsia="Times New Roman" w:hAnsi="Times New Roman" w:cs="Times New Roman"/>
          <w:color w:val="000000"/>
          <w:sz w:val="24"/>
          <w:szCs w:val="24"/>
          <w:vertAlign w:val="superscript"/>
          <w:lang w:val="en-US" w:eastAsia="ru-RU"/>
        </w:rPr>
        <w:t>exceeds the threshold value </w:t>
      </w:r>
      <w:r w:rsidRPr="005E0488">
        <w:rPr>
          <w:rFonts w:ascii="Times New Roman" w:eastAsia="Times New Roman" w:hAnsi="Times New Roman" w:cs="Times New Roman"/>
          <w:b/>
          <w:bCs/>
          <w:color w:val="000000"/>
          <w:sz w:val="24"/>
          <w:szCs w:val="24"/>
          <w:vertAlign w:val="superscript"/>
          <w:lang w:val="en-US" w:eastAsia="ru-RU"/>
        </w:rPr>
        <w:t>M+3*s,</w:t>
      </w:r>
      <w:r w:rsidRPr="005E0488">
        <w:rPr>
          <w:rFonts w:ascii="Times New Roman" w:eastAsia="Times New Roman" w:hAnsi="Times New Roman" w:cs="Times New Roman"/>
          <w:color w:val="000000"/>
          <w:sz w:val="24"/>
          <w:szCs w:val="24"/>
          <w:vertAlign w:val="superscript"/>
          <w:lang w:val="en-US" w:eastAsia="ru-RU"/>
        </w:rPr>
        <w:t> corresponding to the confidence interval </w:t>
      </w:r>
      <w:r w:rsidRPr="005E0488">
        <w:rPr>
          <w:rFonts w:ascii="Times New Roman" w:eastAsia="Times New Roman" w:hAnsi="Times New Roman" w:cs="Times New Roman"/>
          <w:b/>
          <w:bCs/>
          <w:color w:val="000000"/>
          <w:sz w:val="24"/>
          <w:szCs w:val="24"/>
          <w:vertAlign w:val="superscript"/>
          <w:lang w:val="en-US" w:eastAsia="ru-RU"/>
        </w:rPr>
        <w:t>a</w:t>
      </w:r>
      <w:r w:rsidRPr="005E0488">
        <w:rPr>
          <w:rFonts w:ascii="Times New Roman" w:eastAsia="Times New Roman" w:hAnsi="Times New Roman" w:cs="Times New Roman"/>
          <w:color w:val="000000"/>
          <w:sz w:val="24"/>
          <w:szCs w:val="24"/>
          <w:vertAlign w:val="superscript"/>
          <w:lang w:val="en-US" w:eastAsia="ru-RU"/>
        </w:rPr>
        <w:t>~0.01 of the Student's test with the number of degrees of freedom &gt;&gt;100. This region houses the maximal value </w:t>
      </w:r>
      <w:proofErr w:type="gramStart"/>
      <w:r w:rsidRPr="005E0488">
        <w:rPr>
          <w:rFonts w:ascii="Times New Roman" w:eastAsia="Times New Roman" w:hAnsi="Times New Roman" w:cs="Times New Roman"/>
          <w:b/>
          <w:bCs/>
          <w:i/>
          <w:iCs/>
          <w:color w:val="000000"/>
          <w:sz w:val="24"/>
          <w:szCs w:val="24"/>
          <w:vertAlign w:val="superscript"/>
          <w:lang w:val="en-US" w:eastAsia="ru-RU"/>
        </w:rPr>
        <w:t>Score(</w:t>
      </w:r>
      <w:proofErr w:type="gramEnd"/>
      <w:r w:rsidRPr="005E0488">
        <w:rPr>
          <w:rFonts w:ascii="Times New Roman" w:eastAsia="Times New Roman" w:hAnsi="Times New Roman" w:cs="Times New Roman"/>
          <w:b/>
          <w:bCs/>
          <w:i/>
          <w:iCs/>
          <w:color w:val="000000"/>
          <w:sz w:val="24"/>
          <w:szCs w:val="24"/>
          <w:vertAlign w:val="superscript"/>
          <w:lang w:val="en-US" w:eastAsia="ru-RU"/>
        </w:rPr>
        <w:t>t)</w:t>
      </w:r>
      <w:r w:rsidRPr="005E0488">
        <w:rPr>
          <w:rFonts w:ascii="Times New Roman" w:eastAsia="Times New Roman" w:hAnsi="Times New Roman" w:cs="Times New Roman"/>
          <w:i/>
          <w:iCs/>
          <w:color w:val="000000"/>
          <w:sz w:val="24"/>
          <w:szCs w:val="24"/>
          <w:vertAlign w:val="superscript"/>
          <w:lang w:val="en-US" w:eastAsia="ru-RU"/>
        </w:rPr>
        <w:t>,</w:t>
      </w:r>
      <w:r w:rsidRPr="005E0488">
        <w:rPr>
          <w:rFonts w:ascii="Times New Roman" w:eastAsia="Times New Roman" w:hAnsi="Times New Roman" w:cs="Times New Roman"/>
          <w:color w:val="000000"/>
          <w:sz w:val="24"/>
          <w:szCs w:val="24"/>
          <w:vertAlign w:val="superscript"/>
          <w:lang w:val="en-US" w:eastAsia="ru-RU"/>
        </w:rPr>
        <w:t> and the position </w:t>
      </w:r>
      <w:r w:rsidRPr="005E0488">
        <w:rPr>
          <w:rFonts w:ascii="Times New Roman" w:eastAsia="Times New Roman" w:hAnsi="Times New Roman" w:cs="Times New Roman"/>
          <w:b/>
          <w:bCs/>
          <w:i/>
          <w:iCs/>
          <w:color w:val="000000"/>
          <w:sz w:val="24"/>
          <w:szCs w:val="24"/>
          <w:vertAlign w:val="superscript"/>
          <w:lang w:val="en-US" w:eastAsia="ru-RU"/>
        </w:rPr>
        <w:t>t</w:t>
      </w:r>
      <w:r w:rsidRPr="005E0488">
        <w:rPr>
          <w:rFonts w:ascii="Times New Roman" w:eastAsia="Times New Roman" w:hAnsi="Times New Roman" w:cs="Times New Roman"/>
          <w:color w:val="000000"/>
          <w:sz w:val="24"/>
          <w:szCs w:val="24"/>
          <w:vertAlign w:val="superscript"/>
          <w:lang w:val="en-US" w:eastAsia="ru-RU"/>
        </w:rPr>
        <w:t> is predicted as a potential transcription start </w:t>
      </w:r>
      <w:r w:rsidRPr="005E0488">
        <w:rPr>
          <w:rFonts w:ascii="Times New Roman" w:eastAsia="Times New Roman" w:hAnsi="Times New Roman" w:cs="Times New Roman"/>
          <w:b/>
          <w:bCs/>
          <w:i/>
          <w:iCs/>
          <w:color w:val="000000"/>
          <w:sz w:val="24"/>
          <w:szCs w:val="24"/>
          <w:vertAlign w:val="superscript"/>
          <w:lang w:val="en-US" w:eastAsia="ru-RU"/>
        </w:rPr>
        <w:t>T</w:t>
      </w:r>
      <w:r w:rsidRPr="005E0488">
        <w:rPr>
          <w:rFonts w:ascii="Times New Roman" w:eastAsia="Times New Roman" w:hAnsi="Times New Roman" w:cs="Times New Roman"/>
          <w:color w:val="000000"/>
          <w:sz w:val="24"/>
          <w:szCs w:val="24"/>
          <w:vertAlign w:val="superscript"/>
          <w:lang w:val="en-US" w:eastAsia="ru-RU"/>
        </w:rPr>
        <w:t> of the sequences </w:t>
      </w:r>
      <w:r w:rsidRPr="005E0488">
        <w:rPr>
          <w:rFonts w:ascii="Times New Roman" w:eastAsia="Times New Roman" w:hAnsi="Times New Roman" w:cs="Times New Roman"/>
          <w:b/>
          <w:bCs/>
          <w:i/>
          <w:iCs/>
          <w:color w:val="000000"/>
          <w:sz w:val="24"/>
          <w:szCs w:val="24"/>
          <w:vertAlign w:val="superscript"/>
          <w:lang w:val="en-US" w:eastAsia="ru-RU"/>
        </w:rPr>
        <w:t>S</w:t>
      </w:r>
      <w:r w:rsidRPr="005E0488">
        <w:rPr>
          <w:rFonts w:ascii="Times New Roman" w:eastAsia="Times New Roman" w:hAnsi="Times New Roman" w:cs="Times New Roman"/>
          <w:color w:val="000000"/>
          <w:sz w:val="24"/>
          <w:szCs w:val="24"/>
          <w:vertAlign w:val="superscript"/>
          <w:lang w:val="en-US" w:eastAsia="ru-RU"/>
        </w:rPr>
        <w:t>. When </w:t>
      </w:r>
      <w:r w:rsidRPr="005E0488">
        <w:rPr>
          <w:rFonts w:ascii="Times New Roman" w:eastAsia="Times New Roman" w:hAnsi="Times New Roman" w:cs="Times New Roman"/>
          <w:b/>
          <w:bCs/>
          <w:i/>
          <w:iCs/>
          <w:color w:val="000000"/>
          <w:sz w:val="24"/>
          <w:szCs w:val="24"/>
          <w:vertAlign w:val="superscript"/>
          <w:lang w:val="en-US" w:eastAsia="ru-RU"/>
        </w:rPr>
        <w:t>K</w:t>
      </w:r>
      <w:r w:rsidRPr="005E0488">
        <w:rPr>
          <w:rFonts w:ascii="Times New Roman" w:eastAsia="Times New Roman" w:hAnsi="Times New Roman" w:cs="Times New Roman"/>
          <w:color w:val="000000"/>
          <w:sz w:val="24"/>
          <w:szCs w:val="24"/>
          <w:vertAlign w:val="superscript"/>
          <w:lang w:val="en-US" w:eastAsia="ru-RU"/>
        </w:rPr>
        <w:t> such regions </w:t>
      </w:r>
      <w:r w:rsidRPr="005E0488">
        <w:rPr>
          <w:rFonts w:ascii="Times New Roman" w:eastAsia="Times New Roman" w:hAnsi="Times New Roman" w:cs="Times New Roman"/>
          <w:b/>
          <w:bCs/>
          <w:i/>
          <w:iCs/>
          <w:color w:val="000000"/>
          <w:sz w:val="24"/>
          <w:szCs w:val="24"/>
          <w:vertAlign w:val="superscript"/>
          <w:lang w:val="en-US" w:eastAsia="ru-RU"/>
        </w:rPr>
        <w:t>{c</w:t>
      </w:r>
      <w:r w:rsidRPr="005E0488">
        <w:rPr>
          <w:rFonts w:ascii="Times New Roman" w:eastAsia="Times New Roman" w:hAnsi="Times New Roman" w:cs="Times New Roman"/>
          <w:b/>
          <w:bCs/>
          <w:i/>
          <w:iCs/>
          <w:color w:val="000000"/>
          <w:sz w:val="24"/>
          <w:szCs w:val="24"/>
          <w:vertAlign w:val="subscript"/>
          <w:lang w:val="en-US" w:eastAsia="ru-RU"/>
        </w:rPr>
        <w:t>k</w:t>
      </w:r>
      <w:proofErr w:type="gramStart"/>
      <w:r w:rsidRPr="005E0488">
        <w:rPr>
          <w:rFonts w:ascii="Times New Roman" w:eastAsia="Times New Roman" w:hAnsi="Times New Roman" w:cs="Times New Roman"/>
          <w:b/>
          <w:bCs/>
          <w:i/>
          <w:iCs/>
          <w:color w:val="000000"/>
          <w:sz w:val="24"/>
          <w:szCs w:val="24"/>
          <w:vertAlign w:val="superscript"/>
          <w:lang w:val="en-US" w:eastAsia="ru-RU"/>
        </w:rPr>
        <w:t>,d</w:t>
      </w:r>
      <w:r w:rsidRPr="005E0488">
        <w:rPr>
          <w:rFonts w:ascii="Times New Roman" w:eastAsia="Times New Roman" w:hAnsi="Times New Roman" w:cs="Times New Roman"/>
          <w:b/>
          <w:bCs/>
          <w:i/>
          <w:iCs/>
          <w:color w:val="000000"/>
          <w:sz w:val="24"/>
          <w:szCs w:val="24"/>
          <w:vertAlign w:val="subscript"/>
          <w:lang w:val="en-US" w:eastAsia="ru-RU"/>
        </w:rPr>
        <w:t>k</w:t>
      </w:r>
      <w:proofErr w:type="gramEnd"/>
      <w:r w:rsidRPr="005E0488">
        <w:rPr>
          <w:rFonts w:ascii="Times New Roman" w:eastAsia="Times New Roman" w:hAnsi="Times New Roman" w:cs="Times New Roman"/>
          <w:b/>
          <w:bCs/>
          <w:i/>
          <w:iCs/>
          <w:color w:val="000000"/>
          <w:sz w:val="24"/>
          <w:szCs w:val="24"/>
          <w:vertAlign w:val="superscript"/>
          <w:lang w:val="en-US" w:eastAsia="ru-RU"/>
        </w:rPr>
        <w:t>}</w:t>
      </w:r>
      <w:r w:rsidRPr="005E0488">
        <w:rPr>
          <w:rFonts w:ascii="Times New Roman" w:eastAsia="Times New Roman" w:hAnsi="Times New Roman" w:cs="Times New Roman"/>
          <w:color w:val="000000"/>
          <w:sz w:val="24"/>
          <w:szCs w:val="24"/>
          <w:vertAlign w:val="superscript"/>
          <w:lang w:val="en-US" w:eastAsia="ru-RU"/>
        </w:rPr>
        <w:t> are found, </w:t>
      </w:r>
      <w:r w:rsidRPr="005E0488">
        <w:rPr>
          <w:rFonts w:ascii="Times New Roman" w:eastAsia="Times New Roman" w:hAnsi="Times New Roman" w:cs="Times New Roman"/>
          <w:b/>
          <w:bCs/>
          <w:i/>
          <w:iCs/>
          <w:color w:val="000000"/>
          <w:sz w:val="24"/>
          <w:szCs w:val="24"/>
          <w:vertAlign w:val="superscript"/>
          <w:lang w:val="en-US" w:eastAsia="ru-RU"/>
        </w:rPr>
        <w:t>K</w:t>
      </w:r>
      <w:r w:rsidRPr="005E0488">
        <w:rPr>
          <w:rFonts w:ascii="Times New Roman" w:eastAsia="Times New Roman" w:hAnsi="Times New Roman" w:cs="Times New Roman"/>
          <w:color w:val="000000"/>
          <w:sz w:val="24"/>
          <w:szCs w:val="24"/>
          <w:vertAlign w:val="superscript"/>
          <w:lang w:val="en-US" w:eastAsia="ru-RU"/>
        </w:rPr>
        <w:t> potential transcription starts</w:t>
      </w:r>
      <w:r w:rsidRPr="005E0488">
        <w:rPr>
          <w:rFonts w:ascii="Times New Roman" w:eastAsia="Times New Roman" w:hAnsi="Times New Roman" w:cs="Times New Roman"/>
          <w:b/>
          <w:bCs/>
          <w:color w:val="000000"/>
          <w:sz w:val="24"/>
          <w:szCs w:val="24"/>
          <w:vertAlign w:val="superscript"/>
          <w:lang w:val="en-US" w:eastAsia="ru-RU"/>
        </w:rPr>
        <w:t> {t</w:t>
      </w:r>
      <w:r w:rsidRPr="005E0488">
        <w:rPr>
          <w:rFonts w:ascii="Times New Roman" w:eastAsia="Times New Roman" w:hAnsi="Times New Roman" w:cs="Times New Roman"/>
          <w:b/>
          <w:bCs/>
          <w:color w:val="000000"/>
          <w:sz w:val="24"/>
          <w:szCs w:val="24"/>
          <w:vertAlign w:val="subscript"/>
          <w:lang w:val="en-US" w:eastAsia="ru-RU"/>
        </w:rPr>
        <w:t>k</w:t>
      </w:r>
      <w:r w:rsidRPr="005E0488">
        <w:rPr>
          <w:rFonts w:ascii="Times New Roman" w:eastAsia="Times New Roman" w:hAnsi="Times New Roman" w:cs="Times New Roman"/>
          <w:b/>
          <w:bCs/>
          <w:color w:val="000000"/>
          <w:sz w:val="24"/>
          <w:szCs w:val="24"/>
          <w:vertAlign w:val="superscript"/>
          <w:lang w:val="en-US" w:eastAsia="ru-RU"/>
        </w:rPr>
        <w:t>}</w:t>
      </w:r>
      <w:r w:rsidRPr="005E0488">
        <w:rPr>
          <w:rFonts w:ascii="Times New Roman" w:eastAsia="Times New Roman" w:hAnsi="Times New Roman" w:cs="Times New Roman"/>
          <w:color w:val="000000"/>
          <w:sz w:val="24"/>
          <w:szCs w:val="24"/>
          <w:vertAlign w:val="superscript"/>
          <w:lang w:val="en-US" w:eastAsia="ru-RU"/>
        </w:rPr>
        <w:t> are predicted (here </w:t>
      </w:r>
      <w:r w:rsidRPr="005E0488">
        <w:rPr>
          <w:rFonts w:ascii="Times New Roman" w:eastAsia="Times New Roman" w:hAnsi="Times New Roman" w:cs="Times New Roman"/>
          <w:b/>
          <w:bCs/>
          <w:i/>
          <w:iCs/>
          <w:color w:val="000000"/>
          <w:sz w:val="24"/>
          <w:szCs w:val="24"/>
          <w:vertAlign w:val="superscript"/>
          <w:lang w:val="en-US" w:eastAsia="ru-RU"/>
        </w:rPr>
        <w:t>1&lt;=k&lt;=K</w:t>
      </w:r>
      <w:r w:rsidRPr="005E0488">
        <w:rPr>
          <w:rFonts w:ascii="Times New Roman" w:eastAsia="Times New Roman" w:hAnsi="Times New Roman" w:cs="Times New Roman"/>
          <w:color w:val="000000"/>
          <w:sz w:val="24"/>
          <w:szCs w:val="24"/>
          <w:vertAlign w:val="superscript"/>
          <w:lang w:val="en-US" w:eastAsia="ru-RU"/>
        </w:rPr>
        <w:t>).</w:t>
      </w:r>
    </w:p>
    <w:p w:rsidR="005E0488" w:rsidRPr="005E0488" w:rsidRDefault="005E0488" w:rsidP="005E048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E0488">
        <w:rPr>
          <w:rFonts w:ascii="Times New Roman" w:eastAsia="Times New Roman" w:hAnsi="Times New Roman" w:cs="Times New Roman"/>
          <w:color w:val="000000"/>
          <w:sz w:val="24"/>
          <w:szCs w:val="24"/>
          <w:vertAlign w:val="superscript"/>
          <w:lang w:val="en-US" w:eastAsia="ru-RU"/>
        </w:rPr>
        <w:t>The system is available at </w:t>
      </w:r>
      <w:hyperlink r:id="rId9" w:history="1">
        <w:r w:rsidRPr="005E0488">
          <w:rPr>
            <w:rFonts w:ascii="Times New Roman" w:eastAsia="Times New Roman" w:hAnsi="Times New Roman" w:cs="Times New Roman"/>
            <w:color w:val="0000FF"/>
            <w:sz w:val="24"/>
            <w:szCs w:val="24"/>
            <w:u w:val="single"/>
            <w:vertAlign w:val="superscript"/>
            <w:lang w:val="en-US" w:eastAsia="ru-RU"/>
          </w:rPr>
          <w:t>http://wwwmgs.bionet.nsc.ru/Programs/SeqAnn/</w:t>
        </w:r>
      </w:hyperlink>
    </w:p>
    <w:p w:rsidR="005E0488" w:rsidRPr="005E0488" w:rsidRDefault="005E0488" w:rsidP="005E0488">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5E0488">
        <w:rPr>
          <w:rFonts w:ascii="Times New Roman" w:eastAsia="Times New Roman" w:hAnsi="Times New Roman" w:cs="Times New Roman"/>
          <w:noProof/>
          <w:color w:val="000000"/>
          <w:sz w:val="24"/>
          <w:szCs w:val="24"/>
          <w:vertAlign w:val="superscript"/>
          <w:lang w:eastAsia="ru-RU"/>
        </w:rPr>
        <w:drawing>
          <wp:inline distT="0" distB="0" distL="0" distR="0">
            <wp:extent cx="5710555" cy="2855595"/>
            <wp:effectExtent l="0" t="0" r="4445" b="1905"/>
            <wp:docPr id="1" name="Рисунок 1" descr="http://www.bionet.nsc.ru/meeting/bgrs/thesis/36/Imag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net.nsc.ru/meeting/bgrs/thesis/36/Image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0555" cy="2855595"/>
                    </a:xfrm>
                    <a:prstGeom prst="rect">
                      <a:avLst/>
                    </a:prstGeom>
                    <a:noFill/>
                    <a:ln>
                      <a:noFill/>
                    </a:ln>
                  </pic:spPr>
                </pic:pic>
              </a:graphicData>
            </a:graphic>
          </wp:inline>
        </w:drawing>
      </w:r>
    </w:p>
    <w:p w:rsidR="005E0488" w:rsidRPr="005E0488" w:rsidRDefault="005E0488" w:rsidP="005E048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E0488">
        <w:rPr>
          <w:rFonts w:ascii="Times New Roman" w:eastAsia="Times New Roman" w:hAnsi="Times New Roman" w:cs="Times New Roman"/>
          <w:color w:val="000000"/>
          <w:sz w:val="24"/>
          <w:szCs w:val="24"/>
          <w:vertAlign w:val="superscript"/>
          <w:lang w:val="en-US" w:eastAsia="ru-RU"/>
        </w:rPr>
        <w:t>Fig. 2. An element of the profile </w:t>
      </w:r>
      <w:proofErr w:type="gramStart"/>
      <w:r w:rsidRPr="005E0488">
        <w:rPr>
          <w:rFonts w:ascii="Times New Roman" w:eastAsia="Times New Roman" w:hAnsi="Times New Roman" w:cs="Times New Roman"/>
          <w:b/>
          <w:bCs/>
          <w:i/>
          <w:iCs/>
          <w:color w:val="000000"/>
          <w:sz w:val="24"/>
          <w:szCs w:val="24"/>
          <w:vertAlign w:val="superscript"/>
          <w:lang w:val="en-US" w:eastAsia="ru-RU"/>
        </w:rPr>
        <w:t>Score(</w:t>
      </w:r>
      <w:proofErr w:type="gramEnd"/>
      <w:r w:rsidRPr="005E0488">
        <w:rPr>
          <w:rFonts w:ascii="Times New Roman" w:eastAsia="Times New Roman" w:hAnsi="Times New Roman" w:cs="Times New Roman"/>
          <w:b/>
          <w:bCs/>
          <w:i/>
          <w:iCs/>
          <w:color w:val="000000"/>
          <w:sz w:val="24"/>
          <w:szCs w:val="24"/>
          <w:vertAlign w:val="superscript"/>
          <w:lang w:val="en-US" w:eastAsia="ru-RU"/>
        </w:rPr>
        <w:t>i)</w:t>
      </w:r>
      <w:r w:rsidRPr="005E0488">
        <w:rPr>
          <w:rFonts w:ascii="Times New Roman" w:eastAsia="Times New Roman" w:hAnsi="Times New Roman" w:cs="Times New Roman"/>
          <w:color w:val="000000"/>
          <w:sz w:val="24"/>
          <w:szCs w:val="24"/>
          <w:vertAlign w:val="superscript"/>
          <w:lang w:val="en-US" w:eastAsia="ru-RU"/>
        </w:rPr>
        <w:t> for searching the sequence extracted from EMBL by AC=X73839, with the located transcription start, for the promoter extracted form the TRRD database by ID=Hs:PBGD.</w:t>
      </w:r>
    </w:p>
    <w:p w:rsidR="005E0488" w:rsidRPr="005E0488" w:rsidRDefault="005E0488" w:rsidP="005E048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E0488">
        <w:rPr>
          <w:rFonts w:ascii="Times New Roman" w:eastAsia="Times New Roman" w:hAnsi="Times New Roman" w:cs="Times New Roman"/>
          <w:color w:val="000000"/>
          <w:sz w:val="24"/>
          <w:szCs w:val="24"/>
          <w:vertAlign w:val="superscript"/>
          <w:lang w:val="en-US" w:eastAsia="ru-RU"/>
        </w:rPr>
        <w:t>The results of the application of Equations 1 and 2 to a sequence extracted form EMBL by AC=X73839 (</w:t>
      </w:r>
      <w:r w:rsidRPr="005E0488">
        <w:rPr>
          <w:rFonts w:ascii="Times New Roman" w:eastAsia="Times New Roman" w:hAnsi="Times New Roman" w:cs="Times New Roman"/>
          <w:i/>
          <w:iCs/>
          <w:color w:val="000000"/>
          <w:sz w:val="24"/>
          <w:szCs w:val="24"/>
          <w:vertAlign w:val="superscript"/>
          <w:lang w:val="en-US" w:eastAsia="ru-RU"/>
        </w:rPr>
        <w:t>A. thaliana</w:t>
      </w:r>
      <w:r w:rsidRPr="005E0488">
        <w:rPr>
          <w:rFonts w:ascii="Times New Roman" w:eastAsia="Times New Roman" w:hAnsi="Times New Roman" w:cs="Times New Roman"/>
          <w:color w:val="000000"/>
          <w:sz w:val="24"/>
          <w:szCs w:val="24"/>
          <w:vertAlign w:val="superscript"/>
          <w:lang w:val="en-US" w:eastAsia="ru-RU"/>
        </w:rPr>
        <w:t> gene for hemC) and promoter of porphobilinogen deaminase extracted from TRRD by ID=Hs</w:t>
      </w:r>
      <w:proofErr w:type="gramStart"/>
      <w:r w:rsidRPr="005E0488">
        <w:rPr>
          <w:rFonts w:ascii="Times New Roman" w:eastAsia="Times New Roman" w:hAnsi="Times New Roman" w:cs="Times New Roman"/>
          <w:color w:val="000000"/>
          <w:sz w:val="24"/>
          <w:szCs w:val="24"/>
          <w:vertAlign w:val="superscript"/>
          <w:lang w:val="en-US" w:eastAsia="ru-RU"/>
        </w:rPr>
        <w:t>:PBGD</w:t>
      </w:r>
      <w:proofErr w:type="gramEnd"/>
      <w:r w:rsidRPr="005E0488">
        <w:rPr>
          <w:rFonts w:ascii="Times New Roman" w:eastAsia="Times New Roman" w:hAnsi="Times New Roman" w:cs="Times New Roman"/>
          <w:color w:val="000000"/>
          <w:sz w:val="24"/>
          <w:szCs w:val="24"/>
          <w:vertAlign w:val="superscript"/>
          <w:lang w:val="en-US" w:eastAsia="ru-RU"/>
        </w:rPr>
        <w:t xml:space="preserve"> are shown in Fig. 2. Note that the algorithm described above predicted one potential transcription start at position 1638 in this sequence. According to the information contained in the field FT, this sequence has the transcription start at position 1603.</w:t>
      </w:r>
    </w:p>
    <w:p w:rsidR="005E0488" w:rsidRPr="005E0488" w:rsidRDefault="005E0488" w:rsidP="005E048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E0488">
        <w:rPr>
          <w:rFonts w:ascii="Times New Roman" w:eastAsia="Times New Roman" w:hAnsi="Times New Roman" w:cs="Times New Roman"/>
          <w:color w:val="000000"/>
          <w:sz w:val="24"/>
          <w:szCs w:val="24"/>
          <w:vertAlign w:val="superscript"/>
          <w:lang w:val="en-US" w:eastAsia="ru-RU"/>
        </w:rPr>
        <w:t>Further development of this approach will employ the construction of </w:t>
      </w:r>
      <w:proofErr w:type="gramStart"/>
      <w:r w:rsidRPr="005E0488">
        <w:rPr>
          <w:rFonts w:ascii="Times New Roman" w:eastAsia="Times New Roman" w:hAnsi="Times New Roman" w:cs="Times New Roman"/>
          <w:b/>
          <w:bCs/>
          <w:i/>
          <w:iCs/>
          <w:color w:val="000000"/>
          <w:sz w:val="24"/>
          <w:szCs w:val="24"/>
          <w:vertAlign w:val="superscript"/>
          <w:lang w:val="en-US" w:eastAsia="ru-RU"/>
        </w:rPr>
        <w:t>Score</w:t>
      </w:r>
      <w:r w:rsidRPr="005E0488">
        <w:rPr>
          <w:rFonts w:ascii="Times New Roman" w:eastAsia="Times New Roman" w:hAnsi="Times New Roman" w:cs="Times New Roman"/>
          <w:b/>
          <w:bCs/>
          <w:i/>
          <w:iCs/>
          <w:color w:val="000000"/>
          <w:sz w:val="24"/>
          <w:szCs w:val="24"/>
          <w:vertAlign w:val="subscript"/>
          <w:lang w:val="en-US" w:eastAsia="ru-RU"/>
        </w:rPr>
        <w:t>n</w:t>
      </w:r>
      <w:r w:rsidRPr="005E0488">
        <w:rPr>
          <w:rFonts w:ascii="Times New Roman" w:eastAsia="Times New Roman" w:hAnsi="Times New Roman" w:cs="Times New Roman"/>
          <w:b/>
          <w:bCs/>
          <w:i/>
          <w:iCs/>
          <w:color w:val="000000"/>
          <w:sz w:val="24"/>
          <w:szCs w:val="24"/>
          <w:vertAlign w:val="superscript"/>
          <w:lang w:val="en-US" w:eastAsia="ru-RU"/>
        </w:rPr>
        <w:t>(</w:t>
      </w:r>
      <w:proofErr w:type="gramEnd"/>
      <w:r w:rsidRPr="005E0488">
        <w:rPr>
          <w:rFonts w:ascii="Times New Roman" w:eastAsia="Times New Roman" w:hAnsi="Times New Roman" w:cs="Times New Roman"/>
          <w:b/>
          <w:bCs/>
          <w:i/>
          <w:iCs/>
          <w:color w:val="000000"/>
          <w:sz w:val="24"/>
          <w:szCs w:val="24"/>
          <w:vertAlign w:val="superscript"/>
          <w:lang w:val="en-US" w:eastAsia="ru-RU"/>
        </w:rPr>
        <w:t>i)</w:t>
      </w:r>
      <w:r w:rsidRPr="005E0488">
        <w:rPr>
          <w:rFonts w:ascii="Times New Roman" w:eastAsia="Times New Roman" w:hAnsi="Times New Roman" w:cs="Times New Roman"/>
          <w:color w:val="000000"/>
          <w:sz w:val="24"/>
          <w:szCs w:val="24"/>
          <w:vertAlign w:val="superscript"/>
          <w:lang w:val="en-US" w:eastAsia="ru-RU"/>
        </w:rPr>
        <w:t> using homology search, weight matrices, perceptrons, and other methods. Constructions of control and test samples will be refined methodologically basing on extraction of experimental footprints, local Gibbs aligning, and construction of recognition groups.</w:t>
      </w:r>
    </w:p>
    <w:p w:rsidR="005E0488" w:rsidRPr="005E0488" w:rsidRDefault="005E0488" w:rsidP="005E048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E0488">
        <w:rPr>
          <w:rFonts w:ascii="Times New Roman" w:eastAsia="Times New Roman" w:hAnsi="Times New Roman" w:cs="Times New Roman"/>
          <w:color w:val="000000"/>
          <w:sz w:val="24"/>
          <w:szCs w:val="24"/>
          <w:vertAlign w:val="superscript"/>
          <w:lang w:val="en-US" w:eastAsia="ru-RU"/>
        </w:rPr>
        <w:t xml:space="preserve">The TRRD database itself </w:t>
      </w:r>
      <w:proofErr w:type="gramStart"/>
      <w:r w:rsidRPr="005E0488">
        <w:rPr>
          <w:rFonts w:ascii="Times New Roman" w:eastAsia="Times New Roman" w:hAnsi="Times New Roman" w:cs="Times New Roman"/>
          <w:color w:val="000000"/>
          <w:sz w:val="24"/>
          <w:szCs w:val="24"/>
          <w:vertAlign w:val="superscript"/>
          <w:lang w:val="en-US" w:eastAsia="ru-RU"/>
        </w:rPr>
        <w:t>will be integrated</w:t>
      </w:r>
      <w:proofErr w:type="gramEnd"/>
      <w:r w:rsidRPr="005E0488">
        <w:rPr>
          <w:rFonts w:ascii="Times New Roman" w:eastAsia="Times New Roman" w:hAnsi="Times New Roman" w:cs="Times New Roman"/>
          <w:color w:val="000000"/>
          <w:sz w:val="24"/>
          <w:szCs w:val="24"/>
          <w:vertAlign w:val="superscript"/>
          <w:lang w:val="en-US" w:eastAsia="ru-RU"/>
        </w:rPr>
        <w:t xml:space="preserve"> with the system described above through cross-hyperreferences and automatic generation of the recognition programs for a promoter described in TRRD and intended to be searched for in a user's sequence. We also plan to supplement the system with the modules for analysis of functional site activity based on the di- and trinucleotide composition.</w:t>
      </w:r>
    </w:p>
    <w:p w:rsidR="005E0488" w:rsidRPr="005E0488" w:rsidRDefault="005E0488" w:rsidP="005E048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E0488">
        <w:rPr>
          <w:rFonts w:ascii="Times New Roman" w:eastAsia="Times New Roman" w:hAnsi="Times New Roman" w:cs="Times New Roman"/>
          <w:color w:val="000000"/>
          <w:sz w:val="24"/>
          <w:szCs w:val="24"/>
          <w:vertAlign w:val="superscript"/>
          <w:lang w:val="en-US" w:eastAsia="ru-RU"/>
        </w:rPr>
        <w:t xml:space="preserve">The </w:t>
      </w:r>
      <w:proofErr w:type="gramStart"/>
      <w:r w:rsidRPr="005E0488">
        <w:rPr>
          <w:rFonts w:ascii="Times New Roman" w:eastAsia="Times New Roman" w:hAnsi="Times New Roman" w:cs="Times New Roman"/>
          <w:color w:val="000000"/>
          <w:sz w:val="24"/>
          <w:szCs w:val="24"/>
          <w:vertAlign w:val="superscript"/>
          <w:lang w:val="en-US" w:eastAsia="ru-RU"/>
        </w:rPr>
        <w:t>work was supported by the Russian Foundation for Basic Research (97-04-90309) and Russian Human Genome Project</w:t>
      </w:r>
      <w:proofErr w:type="gramEnd"/>
      <w:r w:rsidRPr="005E0488">
        <w:rPr>
          <w:rFonts w:ascii="Times New Roman" w:eastAsia="Times New Roman" w:hAnsi="Times New Roman" w:cs="Times New Roman"/>
          <w:color w:val="000000"/>
          <w:sz w:val="24"/>
          <w:szCs w:val="24"/>
          <w:vertAlign w:val="superscript"/>
          <w:lang w:val="en-US" w:eastAsia="ru-RU"/>
        </w:rPr>
        <w:t>.</w:t>
      </w:r>
    </w:p>
    <w:p w:rsidR="005E0488" w:rsidRPr="005E0488" w:rsidRDefault="005E0488" w:rsidP="005E0488">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5E0488">
        <w:rPr>
          <w:rFonts w:ascii="Times New Roman" w:eastAsia="Times New Roman" w:hAnsi="Times New Roman" w:cs="Times New Roman"/>
          <w:b/>
          <w:bCs/>
          <w:color w:val="000000"/>
          <w:sz w:val="24"/>
          <w:szCs w:val="24"/>
          <w:vertAlign w:val="superscript"/>
          <w:lang w:eastAsia="ru-RU"/>
        </w:rPr>
        <w:t>References</w:t>
      </w:r>
    </w:p>
    <w:p w:rsidR="005E0488" w:rsidRPr="005E0488" w:rsidRDefault="005E0488" w:rsidP="005E048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5E0488">
        <w:rPr>
          <w:rFonts w:ascii="Times New Roman" w:eastAsia="Times New Roman" w:hAnsi="Times New Roman" w:cs="Times New Roman"/>
          <w:color w:val="000000"/>
          <w:sz w:val="24"/>
          <w:szCs w:val="24"/>
          <w:vertAlign w:val="superscript"/>
          <w:lang w:val="en-US" w:eastAsia="ru-RU"/>
        </w:rPr>
        <w:t xml:space="preserve">Etzold, T. and Argos, P. (1993) SRS--an indexing and retrieval tool for flat file data libraries. </w:t>
      </w:r>
      <w:r w:rsidRPr="005E0488">
        <w:rPr>
          <w:rFonts w:ascii="Times New Roman" w:eastAsia="Times New Roman" w:hAnsi="Times New Roman" w:cs="Times New Roman"/>
          <w:color w:val="000000"/>
          <w:sz w:val="24"/>
          <w:szCs w:val="24"/>
          <w:vertAlign w:val="superscript"/>
          <w:lang w:eastAsia="ru-RU"/>
        </w:rPr>
        <w:t>CABIOS. 9, 49-57</w:t>
      </w:r>
    </w:p>
    <w:p w:rsidR="005E0488" w:rsidRPr="005E0488" w:rsidRDefault="005E0488" w:rsidP="005E048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5E0488">
        <w:rPr>
          <w:rFonts w:ascii="Times New Roman" w:eastAsia="Times New Roman" w:hAnsi="Times New Roman" w:cs="Times New Roman"/>
          <w:color w:val="000000"/>
          <w:sz w:val="24"/>
          <w:szCs w:val="24"/>
          <w:vertAlign w:val="superscript"/>
          <w:lang w:eastAsia="ru-RU"/>
        </w:rPr>
        <w:lastRenderedPageBreak/>
        <w:t>Kel, A.E., Kolchanov, N.A., Kel’, O.V., Romashchenko, A.G., Anan’ko, E.A., Ignatieva, E.V., Merkulova, T.I., Podkolodnaya, O.A., Stepanenko, I.L., Kochetov, A.V, Kolpakov, F.A., Podkolodny, N.L., and Naumochkin A.N. (1997) TRRD: database on transcription regulatory regions of eukaryotic genes. Mol. Biol. (Msk) 31, 521-530.</w:t>
      </w:r>
    </w:p>
    <w:p w:rsidR="005E0488" w:rsidRPr="005E0488" w:rsidRDefault="005E0488" w:rsidP="005E048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5E0488">
        <w:rPr>
          <w:rFonts w:ascii="Times New Roman" w:eastAsia="Times New Roman" w:hAnsi="Times New Roman" w:cs="Times New Roman"/>
          <w:color w:val="000000"/>
          <w:sz w:val="24"/>
          <w:szCs w:val="24"/>
          <w:vertAlign w:val="superscript"/>
          <w:lang w:val="en-US" w:eastAsia="ru-RU"/>
        </w:rPr>
        <w:t xml:space="preserve">Kel, O.V., Romashchenko, A.G., Kel, A.E., Wingender, and E., Kolchanov, N.A., (1995b) A compilation of composite regulatory elements affecting gene transcription in vertebrates. </w:t>
      </w:r>
      <w:r w:rsidRPr="005E0488">
        <w:rPr>
          <w:rFonts w:ascii="Times New Roman" w:eastAsia="Times New Roman" w:hAnsi="Times New Roman" w:cs="Times New Roman"/>
          <w:color w:val="000000"/>
          <w:sz w:val="24"/>
          <w:szCs w:val="24"/>
          <w:vertAlign w:val="superscript"/>
          <w:lang w:eastAsia="ru-RU"/>
        </w:rPr>
        <w:t>Nucl. Acids Res. 23, 4097-4103.</w:t>
      </w:r>
    </w:p>
    <w:p w:rsidR="005E0488" w:rsidRPr="005E0488" w:rsidRDefault="005E0488" w:rsidP="005E048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5E0488">
        <w:rPr>
          <w:rFonts w:ascii="Times New Roman" w:eastAsia="Times New Roman" w:hAnsi="Times New Roman" w:cs="Times New Roman"/>
          <w:color w:val="000000"/>
          <w:sz w:val="24"/>
          <w:szCs w:val="24"/>
          <w:vertAlign w:val="superscript"/>
          <w:lang w:eastAsia="ru-RU"/>
        </w:rPr>
        <w:t>N.A. Kolchanov, M.P. Ponomarenko, A.E. Kel, Y.V. Kondrakhin, A.S. Frolov, F.A. Kolpakov, O.V. Kel, E.A. Ananko, E.V. Ignatieva, O.A. Podkolodnaya, I.L. Stepanenko, T.I. Merkulova, V.N. Babenko, D.G. Voroblev, S.V. Lavyushev, Y.V. Ponomarenko, A.V. Kochetov, G.B. Kolesov, N.L. Podkolodny, L. Milanesi, E. Wingender, T. Heinemeyer, V.V. Solvyev "Genexpress: A Computer System for Description, Analysis and Recognition of Regulatory Sequences in Eukaryotic Genome" ISMB'98, in press (1998)</w:t>
      </w:r>
    </w:p>
    <w:p w:rsidR="005E0488" w:rsidRPr="005E0488" w:rsidRDefault="005E0488" w:rsidP="005E048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5E0488">
        <w:rPr>
          <w:rFonts w:ascii="Times New Roman" w:eastAsia="Times New Roman" w:hAnsi="Times New Roman" w:cs="Times New Roman"/>
          <w:color w:val="000000"/>
          <w:sz w:val="24"/>
          <w:szCs w:val="24"/>
          <w:vertAlign w:val="superscript"/>
          <w:lang w:val="en-US" w:eastAsia="ru-RU"/>
        </w:rPr>
        <w:t xml:space="preserve">Peter, R.C., Juner, T., and Bucher, P. (1998) </w:t>
      </w:r>
      <w:proofErr w:type="gramStart"/>
      <w:r w:rsidRPr="005E0488">
        <w:rPr>
          <w:rFonts w:ascii="Times New Roman" w:eastAsia="Times New Roman" w:hAnsi="Times New Roman" w:cs="Times New Roman"/>
          <w:color w:val="000000"/>
          <w:sz w:val="24"/>
          <w:szCs w:val="24"/>
          <w:vertAlign w:val="superscript"/>
          <w:lang w:val="en-US" w:eastAsia="ru-RU"/>
        </w:rPr>
        <w:t>The</w:t>
      </w:r>
      <w:proofErr w:type="gramEnd"/>
      <w:r w:rsidRPr="005E0488">
        <w:rPr>
          <w:rFonts w:ascii="Times New Roman" w:eastAsia="Times New Roman" w:hAnsi="Times New Roman" w:cs="Times New Roman"/>
          <w:color w:val="000000"/>
          <w:sz w:val="24"/>
          <w:szCs w:val="24"/>
          <w:vertAlign w:val="superscript"/>
          <w:lang w:val="en-US" w:eastAsia="ru-RU"/>
        </w:rPr>
        <w:t xml:space="preserve"> eukaryotic promoter database EPD. </w:t>
      </w:r>
      <w:r w:rsidRPr="005E0488">
        <w:rPr>
          <w:rFonts w:ascii="Times New Roman" w:eastAsia="Times New Roman" w:hAnsi="Times New Roman" w:cs="Times New Roman"/>
          <w:color w:val="000000"/>
          <w:sz w:val="24"/>
          <w:szCs w:val="24"/>
          <w:vertAlign w:val="superscript"/>
          <w:lang w:eastAsia="ru-RU"/>
        </w:rPr>
        <w:t>Nucl. Acids Res. 26, 353-357.</w:t>
      </w:r>
    </w:p>
    <w:p w:rsidR="005E0488" w:rsidRPr="005E0488" w:rsidRDefault="005E0488" w:rsidP="005E048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5E0488">
        <w:rPr>
          <w:rFonts w:ascii="Times New Roman" w:eastAsia="Times New Roman" w:hAnsi="Times New Roman" w:cs="Times New Roman"/>
          <w:color w:val="000000"/>
          <w:sz w:val="24"/>
          <w:szCs w:val="24"/>
          <w:vertAlign w:val="superscript"/>
          <w:lang w:val="en-US" w:eastAsia="ru-RU"/>
        </w:rPr>
        <w:t xml:space="preserve">Salas, F., Haas, J., Brunk, B., Stoeckert Jr, C.J., and Overton, G.C. (1998) EpoDB: a database of genes expressed during vertebrate erythropoiesis. </w:t>
      </w:r>
      <w:r w:rsidRPr="005E0488">
        <w:rPr>
          <w:rFonts w:ascii="Times New Roman" w:eastAsia="Times New Roman" w:hAnsi="Times New Roman" w:cs="Times New Roman"/>
          <w:color w:val="000000"/>
          <w:sz w:val="24"/>
          <w:szCs w:val="24"/>
          <w:vertAlign w:val="superscript"/>
          <w:lang w:eastAsia="ru-RU"/>
        </w:rPr>
        <w:t>Nucleic Acids Res. 26, 290-292</w:t>
      </w:r>
    </w:p>
    <w:p w:rsidR="005E0488" w:rsidRPr="005E0488" w:rsidRDefault="005E0488" w:rsidP="005E048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5E0488">
        <w:rPr>
          <w:rFonts w:ascii="Times New Roman" w:eastAsia="Times New Roman" w:hAnsi="Times New Roman" w:cs="Times New Roman"/>
          <w:color w:val="000000"/>
          <w:sz w:val="24"/>
          <w:szCs w:val="24"/>
          <w:vertAlign w:val="superscript"/>
          <w:lang w:val="en-US" w:eastAsia="ru-RU"/>
        </w:rPr>
        <w:t xml:space="preserve">Wingender, E., Dietze, P., Karas, H., and Kneuppel, R. (1996) TRANSFAC: a database on transcription factors and their DNA binding sites. </w:t>
      </w:r>
      <w:r w:rsidRPr="005E0488">
        <w:rPr>
          <w:rFonts w:ascii="Times New Roman" w:eastAsia="Times New Roman" w:hAnsi="Times New Roman" w:cs="Times New Roman"/>
          <w:color w:val="000000"/>
          <w:sz w:val="24"/>
          <w:szCs w:val="24"/>
          <w:vertAlign w:val="superscript"/>
          <w:lang w:eastAsia="ru-RU"/>
        </w:rPr>
        <w:t>Nucl. Acids Res. 24. P. 238-241.</w:t>
      </w:r>
    </w:p>
    <w:p w:rsidR="001E5A13" w:rsidRDefault="001E5A13"/>
    <w:sectPr w:rsidR="001E5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C172E"/>
    <w:multiLevelType w:val="multilevel"/>
    <w:tmpl w:val="D6D2C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488"/>
    <w:rsid w:val="001E5A13"/>
    <w:rsid w:val="005E0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A3A35-F40E-4CE7-A2D3-C576433C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E04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048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E04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E04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23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hyperlink" Target="http://wwwmgs.bionet.nsc.ru/Programs/SeqAn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1367</Words>
  <Characters>7793</Characters>
  <Application>Microsoft Office Word</Application>
  <DocSecurity>0</DocSecurity>
  <Lines>64</Lines>
  <Paragraphs>18</Paragraphs>
  <ScaleCrop>false</ScaleCrop>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2021-10-18T04:08:00Z</dcterms:created>
  <dcterms:modified xsi:type="dcterms:W3CDTF">2021-10-18T04:09:00Z</dcterms:modified>
</cp:coreProperties>
</file>