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A6" w:rsidRPr="00452336" w:rsidRDefault="006B30A6" w:rsidP="006B30A6">
      <w:pPr>
        <w:spacing w:after="0" w:line="24" w:lineRule="atLeast"/>
        <w:ind w:left="5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МНОГОФАКТОРНОЙ СИСТЕМЫ ПРОГНОЗИРОВАНИЯ ДЛЯ УПРАВЛЕНИЯ ДИНАМИЧЕСКИМИ СИСТЕМАМИ </w:t>
      </w:r>
    </w:p>
    <w:p w:rsidR="006B30A6" w:rsidRPr="00452336" w:rsidRDefault="006B30A6" w:rsidP="006B30A6">
      <w:pPr>
        <w:spacing w:after="0" w:line="24" w:lineRule="atLeast"/>
        <w:ind w:left="57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3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Иванюк В.А.</w:t>
      </w:r>
    </w:p>
    <w:p w:rsidR="006B30A6" w:rsidRPr="00452336" w:rsidRDefault="006B30A6" w:rsidP="006B30A6">
      <w:pPr>
        <w:spacing w:after="0" w:line="24" w:lineRule="atLeast"/>
        <w:ind w:left="57"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2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проблем управления им. В.А. Трапезникова РАН, г. Москва</w:t>
      </w:r>
    </w:p>
    <w:p w:rsidR="006B30A6" w:rsidRPr="00452336" w:rsidRDefault="006B30A6" w:rsidP="006B30A6">
      <w:pPr>
        <w:spacing w:after="0" w:line="24" w:lineRule="atLeast"/>
        <w:ind w:left="57"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7" w:history="1">
        <w:r w:rsidRPr="00452336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Ivaver</w:t>
        </w:r>
        <w:r w:rsidRPr="00452336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6@</w:t>
        </w:r>
        <w:r w:rsidRPr="00452336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gmail</w:t>
        </w:r>
        <w:r w:rsidRPr="00452336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r w:rsidRPr="00452336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6B30A6" w:rsidRPr="00452336" w:rsidRDefault="006B30A6" w:rsidP="006B30A6">
      <w:pPr>
        <w:spacing w:after="0" w:line="24" w:lineRule="atLeast"/>
        <w:ind w:left="57"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2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Цвиркун А.Д.</w:t>
      </w:r>
    </w:p>
    <w:p w:rsidR="006B30A6" w:rsidRPr="00452336" w:rsidRDefault="006B30A6" w:rsidP="006B30A6">
      <w:pPr>
        <w:spacing w:after="0" w:line="24" w:lineRule="atLeast"/>
        <w:ind w:left="57"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2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проблем управления им. В.А. Трапезникова РАН, г. Москва</w:t>
      </w:r>
    </w:p>
    <w:p w:rsidR="006B30A6" w:rsidRPr="00452336" w:rsidRDefault="006B30A6" w:rsidP="006B30A6">
      <w:pPr>
        <w:spacing w:after="0" w:line="24" w:lineRule="atLeast"/>
        <w:ind w:left="57" w:firstLine="426"/>
        <w:jc w:val="center"/>
        <w:rPr>
          <w:rFonts w:ascii="Times New Roman" w:eastAsia="Times New Roman" w:hAnsi="Times New Roman" w:cs="Times New Roman"/>
          <w:bCs/>
          <w:iCs/>
          <w:color w:val="0000FF"/>
          <w:u w:val="single"/>
          <w:lang w:eastAsia="ru-RU"/>
        </w:rPr>
      </w:pPr>
      <w:hyperlink r:id="rId8" w:history="1">
        <w:r w:rsidRPr="00452336">
          <w:rPr>
            <w:rFonts w:ascii="Times New Roman" w:eastAsia="Times New Roman" w:hAnsi="Times New Roman" w:cs="Times New Roman"/>
            <w:bCs/>
            <w:iCs/>
            <w:color w:val="0000FF"/>
            <w:u w:val="single"/>
            <w:lang w:val="en-US" w:eastAsia="ru-RU"/>
          </w:rPr>
          <w:t>tsvirkun</w:t>
        </w:r>
        <w:r w:rsidRPr="00452336">
          <w:rPr>
            <w:rFonts w:ascii="Times New Roman" w:eastAsia="Times New Roman" w:hAnsi="Times New Roman" w:cs="Times New Roman"/>
            <w:bCs/>
            <w:iCs/>
            <w:color w:val="0000FF"/>
            <w:u w:val="single"/>
            <w:lang w:eastAsia="ru-RU"/>
          </w:rPr>
          <w:t>@</w:t>
        </w:r>
        <w:r w:rsidRPr="00452336">
          <w:rPr>
            <w:rFonts w:ascii="Times New Roman" w:eastAsia="Times New Roman" w:hAnsi="Times New Roman" w:cs="Times New Roman"/>
            <w:bCs/>
            <w:iCs/>
            <w:color w:val="0000FF"/>
            <w:u w:val="single"/>
            <w:lang w:val="en-US" w:eastAsia="ru-RU"/>
          </w:rPr>
          <w:t>ipu</w:t>
        </w:r>
        <w:r w:rsidRPr="00452336">
          <w:rPr>
            <w:rFonts w:ascii="Times New Roman" w:eastAsia="Times New Roman" w:hAnsi="Times New Roman" w:cs="Times New Roman"/>
            <w:bCs/>
            <w:iCs/>
            <w:color w:val="0000FF"/>
            <w:u w:val="single"/>
            <w:lang w:eastAsia="ru-RU"/>
          </w:rPr>
          <w:t>.</w:t>
        </w:r>
        <w:proofErr w:type="spellStart"/>
        <w:r w:rsidRPr="00452336">
          <w:rPr>
            <w:rFonts w:ascii="Times New Roman" w:eastAsia="Times New Roman" w:hAnsi="Times New Roman" w:cs="Times New Roman"/>
            <w:bCs/>
            <w:iCs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6B30A6" w:rsidRDefault="006B30A6" w:rsidP="00FC4BF9">
      <w:pPr>
        <w:spacing w:after="0" w:line="24" w:lineRule="atLeast"/>
        <w:ind w:left="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BF9" w:rsidRPr="00452336" w:rsidRDefault="00FC4BF9" w:rsidP="00FC4BF9">
      <w:pPr>
        <w:spacing w:after="0" w:line="24" w:lineRule="atLeast"/>
        <w:ind w:left="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данной работы является построение инновационной, самообучающейся вычислительной системы для комбинированного многофакторного анализа и прогнозирования с использованием косвенных данных и учетом явлений,   влияющих на исследуемый показатель.</w:t>
      </w:r>
    </w:p>
    <w:p w:rsidR="00FC4BF9" w:rsidRPr="00FC4BF9" w:rsidRDefault="00FC4BF9" w:rsidP="00FC4BF9">
      <w:pPr>
        <w:spacing w:after="0" w:line="24" w:lineRule="atLeast"/>
        <w:ind w:left="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разработанной системе применен метод анализа и прогнозирования данных на основе генетического алгоритма. </w:t>
      </w:r>
      <w:proofErr w:type="gramStart"/>
      <w:r w:rsidRPr="004523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4523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</w:t>
      </w:r>
      <w:proofErr w:type="spellEnd"/>
      <w:r w:rsidRPr="0045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аналогов может выдавать экономическую оценку и прогнозы с более высокой точностью.</w:t>
      </w:r>
      <w:proofErr w:type="gramEnd"/>
      <w:r w:rsidRPr="0045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блоками программы являются блок статистического анализа</w:t>
      </w:r>
      <w:r w:rsidRPr="00FC4B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 нейронного анализа</w:t>
      </w:r>
      <w:r w:rsidRPr="00FC4B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 генетического алгоритма</w:t>
      </w:r>
      <w:r w:rsidR="009F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 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BF9" w:rsidRDefault="00FC4BF9" w:rsidP="00FC4BF9">
      <w:pPr>
        <w:spacing w:after="0" w:line="24" w:lineRule="atLeast"/>
        <w:ind w:left="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BF9" w:rsidRDefault="004C770C" w:rsidP="00FC4BF9">
      <w:pPr>
        <w:spacing w:after="0" w:line="24" w:lineRule="atLeast"/>
        <w:ind w:left="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pict>
          <v:group id="_x0000_s1068" editas="orgchart" style="width:6in;height:394.6pt;mso-position-horizontal-relative:char;mso-position-vertical-relative:line" coordorigin="1137,1634" coordsize="9360,9360">
            <o:lock v:ext="edit" aspectratio="t"/>
            <o:diagram v:ext="edit" dgmstyle="0" dgmscalex="60496" dgmscaley="55261" dgmfontsize="10" constrainbounds="0,0,0,0">
              <o:relationtable v:ext="edit">
                <o:rel v:ext="edit" idsrc="#_s1084" iddest="#_s1084"/>
                <o:rel v:ext="edit" idsrc="#_s1088" iddest="#_s1084" idcntr="#_s1080"/>
                <o:rel v:ext="edit" idsrc="#_s1089" iddest="#_s1084" idcntr="#_s1079"/>
                <o:rel v:ext="edit" idsrc="#_s1090" iddest="#_s1084" idcntr="#_s1078"/>
                <o:rel v:ext="edit" idsrc="#_s1091" iddest="#_s1084" idcntr="#_s1077"/>
                <o:rel v:ext="edit" idsrc="#_s1085" iddest="#_s1084" idcntr="#_s1083"/>
                <o:rel v:ext="edit" idsrc="#_s1086" iddest="#_s1085" idcntr="#_s1082"/>
                <o:rel v:ext="edit" idsrc="#_s1087" iddest="#_s1085" idcntr="#_s1081"/>
                <o:rel v:ext="edit" idsrc="#_s1092" iddest="#_s1086" idcntr="#_s1076"/>
                <o:rel v:ext="edit" idsrc="#_s1093" iddest="#_s1087" idcntr="#_s1075"/>
                <o:rel v:ext="edit" idsrc="#_s1094" iddest="#_s1093" idcntr="#_s1074"/>
                <o:rel v:ext="edit" idsrc="#_s1095" iddest="#_s1094" idcntr="#_s1073"/>
                <o:rel v:ext="edit" idsrc="#_s1096" iddest="#_s1094" idcntr="#_s1072"/>
                <o:rel v:ext="edit" idsrc="#_s1097" iddest="#_s1095" idcntr="#_s1071"/>
                <o:rel v:ext="edit" idsrc="#_s1098" iddest="#_s1096" idcntr="#_s1070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1137;top:1634;width:9360;height:9360" o:preferrelative="f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70" o:spid="_x0000_s1070" type="#_x0000_t33" style="position:absolute;left:7683;top:9913;width:294;height:721;flip:y" o:connectortype="elbow" adj="-585900,296007,-585900" strokeweight="2.25pt"/>
            <v:shape id="_s1071" o:spid="_x0000_s1071" type="#_x0000_t33" style="position:absolute;left:3362;top:9914;width:295;height:720;flip:y" o:connectortype="elbow" adj="-269206,296030,-269206" strokeweight="2.25pt"/>
            <v:shape id="_s1072" o:spid="_x0000_s1072" type="#_x0000_t33" style="position:absolute;left:5097;top:8834;width:1800;height:720;rotation:180" o:connectortype="elbow" adj="-86465,-263909,-86465" strokeweight="2.25pt"/>
            <v:shape id="_s1073" o:spid="_x0000_s1073" type="#_x0000_t33" style="position:absolute;left:4737;top:8834;width:360;height:720;flip:y" o:connectortype="elbow" adj="-303116,263652,-303116" strokeweight="2.25pt"/>
            <v:shape id="_s1074" o:spid="_x0000_s1074" type="#_x0000_t33" style="position:absolute;left:6177;top:7754;width:3240;height:720;flip:y" o:connectortype="elbow" adj="-43243,231275,-43243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75" o:spid="_x0000_s1075" type="#_x0000_t32" style="position:absolute;left:9238;top:6853;width:360;height:1;rotation:270" o:connectortype="elbow" adj="-410903,-1,-410903" strokeweight="2.25pt"/>
            <v:shape id="_s1076" o:spid="_x0000_s1076" type="#_x0000_t32" style="position:absolute;left:2038;top:6853;width:360;height:1;rotation:270" o:connectortype="elbow" adj="-106764,-1,-106764" strokeweight="2.25pt"/>
            <v:shape id="_s1077" o:spid="_x0000_s1077" type="#_x0000_t33" style="position:absolute;left:5817;top:2354;width:360;height:1801;rotation:180" o:connectortype="elbow" adj="-389581,-40733,-389581" strokeweight="2.25pt"/>
            <v:shape id="_s1078" o:spid="_x0000_s1078" type="#_x0000_t33" style="position:absolute;left:5457;top:2354;width:360;height:1801;flip:y" o:connectortype="elbow" adj="-346381,40733,-346381" strokeweight="2.25pt"/>
            <v:shape id="_s1079" o:spid="_x0000_s1079" type="#_x0000_t33" style="position:absolute;left:5817;top:2354;width:360;height:720;rotation:180" o:connectortype="elbow" adj="-389581,-69412,-389581" strokeweight="2.25pt"/>
            <v:shape id="_s1080" o:spid="_x0000_s1080" type="#_x0000_t33" style="position:absolute;left:5457;top:2354;width:360;height:720;flip:y" o:connectortype="elbow" adj="-346381,69412,-346381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81" o:spid="_x0000_s1081" type="#_x0000_t34" style="position:absolute;left:7437;top:3974;width:360;height:3600;rotation:270;flip:x" o:connectortype="elbow" adj="8237,44331,-410903" strokeweight="2.25pt"/>
            <v:shape id="_s1082" o:spid="_x0000_s1082" type="#_x0000_t34" style="position:absolute;left:3837;top:3974;width:360;height:3600;rotation:270" o:connectortype="elbow" adj="8237,-44331,-106764" strokeweight="2.25pt"/>
            <v:shape id="_s1083" o:spid="_x0000_s1083" type="#_x0000_t32" style="position:absolute;left:4558;top:3613;width:2520;height:1;rotation:270" o:connectortype="elbow" adj="-36920,-1,-36920" strokeweight="2.25pt"/>
            <v:roundrect id="_s1084" o:spid="_x0000_s1084" style="position:absolute;left:4737;top:1634;width:2160;height:720;v-text-anchor:middle" arcsize="10923f" o:dgmlayout="0" o:dgmnodekind="1" filled="f" fillcolor="lime">
              <v:textbox style="mso-next-textbox:#_s1084" inset="0,0,0,0">
                <w:txbxContent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</w:p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  <w:r w:rsidRPr="009F15BF"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  <w:t>Сборщик данных</w:t>
                    </w:r>
                  </w:p>
                </w:txbxContent>
              </v:textbox>
            </v:roundrect>
            <v:roundrect id="_s1085" o:spid="_x0000_s1085" style="position:absolute;left:4737;top:4874;width:2160;height:720;v-text-anchor:middle" arcsize="10923f" o:dgmlayout="0" o:dgmnodekind="0" filled="f" fillcolor="#bbe0e3">
              <v:textbox style="mso-next-textbox:#_s1085" inset="0,0,0,0">
                <w:txbxContent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</w:p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  <w:r w:rsidRPr="009F15BF"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  <w:t>Хранилище данных</w:t>
                    </w:r>
                  </w:p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</w:p>
                </w:txbxContent>
              </v:textbox>
            </v:roundrect>
            <v:roundrect id="_s1086" o:spid="_x0000_s1086" style="position:absolute;left:1137;top:5954;width:2160;height:720;v-text-anchor:middle" arcsize="10923f" o:dgmlayout="0" o:dgmnodekind="0" o:dgmlayoutmru="0" filled="f" fillcolor="#bbe0e3">
              <v:textbox style="mso-next-textbox:#_s1086" inset="0,0,0,0">
                <w:txbxContent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</w:p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  <w:r w:rsidRPr="009F15BF"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  <w:t>Блок нейронного анализа</w:t>
                    </w:r>
                  </w:p>
                </w:txbxContent>
              </v:textbox>
            </v:roundrect>
            <v:roundrect id="_s1087" o:spid="_x0000_s1087" style="position:absolute;left:8337;top:5954;width:2160;height:720;v-text-anchor:middle" arcsize="10923f" o:dgmlayout="0" o:dgmnodekind="0" o:dgmlayoutmru="0" filled="f" fillcolor="#bbe0e3">
              <v:textbox style="mso-next-textbox:#_s1087" inset="0,0,0,0">
                <w:txbxContent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</w:p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  <w:r w:rsidRPr="009F15BF"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  <w:t>Блок статистического анализа</w:t>
                    </w:r>
                  </w:p>
                </w:txbxContent>
              </v:textbox>
            </v:roundrect>
            <v:roundrect id="_s1088" o:spid="_x0000_s1088" style="position:absolute;left:3297;top:2714;width:2160;height:720;v-text-anchor:middle" arcsize="10923f" o:dgmlayout="0" o:dgmnodekind="2" filled="f" fillcolor="#bbe0e3">
              <v:textbox style="mso-next-textbox:#_s1088" inset="0,0,0,0">
                <w:txbxContent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</w:p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  <w:r w:rsidRPr="009F15BF"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  <w:t>Сборщик данных</w:t>
                    </w:r>
                  </w:p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</w:p>
                </w:txbxContent>
              </v:textbox>
            </v:roundrect>
            <v:roundrect id="_s1089" o:spid="_x0000_s1089" style="position:absolute;left:6177;top:2714;width:2159;height:720;v-text-anchor:middle" arcsize="10923f" o:dgmlayout="0" o:dgmnodekind="2" filled="f" fillcolor="#bbe0e3">
              <v:textbox style="mso-next-textbox:#_s1089" inset="0,0,0,0">
                <w:txbxContent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</w:p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  <w:r w:rsidRPr="009F15BF"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  <w:t>Сборщик данных</w:t>
                    </w:r>
                  </w:p>
                  <w:p w:rsidR="009F15BF" w:rsidRPr="009F15BF" w:rsidRDefault="009F15BF" w:rsidP="009F15BF">
                    <w:pPr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</w:p>
                </w:txbxContent>
              </v:textbox>
            </v:roundrect>
            <v:roundrect id="_s1090" o:spid="_x0000_s1090" style="position:absolute;left:3297;top:3794;width:2160;height:720;v-text-anchor:middle" arcsize="10923f" o:dgmlayout="0" o:dgmnodekind="2" filled="f" fillcolor="#bbe0e3">
              <v:textbox style="mso-next-textbox:#_s1090" inset="0,0,0,0">
                <w:txbxContent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</w:p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  <w:r w:rsidRPr="009F15BF"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  <w:t>Сборщик данных</w:t>
                    </w:r>
                  </w:p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</w:p>
                </w:txbxContent>
              </v:textbox>
            </v:roundrect>
            <v:roundrect id="_s1091" o:spid="_x0000_s1091" style="position:absolute;left:6177;top:3794;width:2160;height:720;v-text-anchor:middle" arcsize="10923f" o:dgmlayout="0" o:dgmnodekind="2" filled="f" fillcolor="#bbe0e3">
              <v:textbox style="mso-next-textbox:#_s1091" inset="0,0,0,0">
                <w:txbxContent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</w:p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  <w:r w:rsidRPr="009F15BF"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  <w:t>Сборщик данных</w:t>
                    </w:r>
                  </w:p>
                  <w:p w:rsidR="009F15BF" w:rsidRPr="009F15BF" w:rsidRDefault="009F15BF" w:rsidP="009F15BF">
                    <w:pPr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</w:p>
                </w:txbxContent>
              </v:textbox>
            </v:roundrect>
            <v:roundrect id="_s1092" o:spid="_x0000_s1092" style="position:absolute;left:1137;top:7034;width:2160;height:720;v-text-anchor:middle" arcsize="10923f" o:dgmlayout="2" o:dgmnodekind="0" filled="f" fillcolor="#bbe0e3">
              <v:textbox style="mso-next-textbox:#_s1092" inset="0,0,0,0">
                <w:txbxContent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</w:p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  <w:r w:rsidRPr="009F15BF"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  <w:t>Блок нейронного прогноза и самообучения</w:t>
                    </w:r>
                  </w:p>
                </w:txbxContent>
              </v:textbox>
            </v:roundrect>
            <v:roundrect id="_s1093" o:spid="_x0000_s1093" style="position:absolute;left:8337;top:7034;width:2160;height:720;v-text-anchor:middle" arcsize="10923f" o:dgmlayout="1" o:dgmnodekind="0" o:dgmlayoutmru="1" filled="f" fillcolor="#bbe0e3">
              <v:textbox style="mso-next-textbox:#_s1093" inset="0,0,0,0">
                <w:txbxContent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</w:p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  <w:r w:rsidRPr="009F15BF"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  <w:t>Блок статистического прогноза и самообучения</w:t>
                    </w:r>
                  </w:p>
                </w:txbxContent>
              </v:textbox>
            </v:roundrect>
            <v:roundrect id="_s1094" o:spid="_x0000_s1094" style="position:absolute;left:4017;top:8114;width:2160;height:720;v-text-anchor:middle" arcsize="10923f" o:dgmlayout="1" o:dgmnodekind="0" o:dgmlayoutmru="1" filled="f" fillcolor="silver">
              <v:textbox style="mso-next-textbox:#_s1094" inset="0,0,0,0">
                <w:txbxContent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</w:p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  <w:r w:rsidRPr="009F15BF"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  <w:t>Генетический алгоритм</w:t>
                    </w:r>
                  </w:p>
                </w:txbxContent>
              </v:textbox>
            </v:roundrect>
            <v:roundrect id="_s1095" o:spid="_x0000_s1095" style="position:absolute;left:2577;top:9194;width:2160;height:720;v-text-anchor:middle" arcsize="10923f" o:dgmlayout="3" o:dgmnodekind="0" o:dgmlayoutmru="3" filled="f" fillcolor="#bbe0e3">
              <v:textbox style="mso-next-textbox:#_s1095" inset="0,0,0,0">
                <w:txbxContent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</w:p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  <w:r w:rsidRPr="009F15BF"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  <w:t>Анализ ситуации</w:t>
                    </w:r>
                  </w:p>
                </w:txbxContent>
              </v:textbox>
            </v:roundrect>
            <v:roundrect id="_s1096" o:spid="_x0000_s1096" style="position:absolute;left:6897;top:9194;width:2160;height:719;v-text-anchor:middle" arcsize="10923f" o:dgmlayout="3" o:dgmnodekind="0" o:dgmlayoutmru="3" filled="f" fillcolor="#bbe0e3">
              <v:textbox style="mso-next-textbox:#_s1096" inset="0,0,0,0">
                <w:txbxContent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</w:p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  <w:r w:rsidRPr="009F15BF"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  <w:t>Синтез прогноза</w:t>
                    </w:r>
                  </w:p>
                </w:txbxContent>
              </v:textbox>
            </v:roundrect>
            <v:roundrect id="_s1097" o:spid="_x0000_s1097" style="position:absolute;left:1137;top:10274;width:2160;height:720;v-text-anchor:middle" arcsize="10923f" o:dgmlayout="2" o:dgmnodekind="0" filled="f" fillcolor="silver" strokeweight="6pt">
              <v:stroke linestyle="thickBetweenThin"/>
              <v:textbox style="mso-next-textbox:#_s1097" inset="0,0,0,0">
                <w:txbxContent>
                  <w:p w:rsidR="009F15BF" w:rsidRPr="009F15BF" w:rsidRDefault="009F15BF" w:rsidP="009F15BF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/>
                        <w:sz w:val="13"/>
                        <w:szCs w:val="16"/>
                        <w:lang w:eastAsia="ru-RU"/>
                      </w:rPr>
                    </w:pPr>
                  </w:p>
                  <w:p w:rsidR="009F15BF" w:rsidRPr="009F15BF" w:rsidRDefault="009F15BF" w:rsidP="009F15BF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/>
                        <w:sz w:val="13"/>
                        <w:szCs w:val="16"/>
                        <w:lang w:eastAsia="ru-RU"/>
                      </w:rPr>
                    </w:pPr>
                    <w:r w:rsidRPr="009F15BF">
                      <w:rPr>
                        <w:rFonts w:ascii="Arial" w:eastAsia="Times New Roman" w:hAnsi="Arial" w:cs="Arial"/>
                        <w:b/>
                        <w:sz w:val="13"/>
                        <w:szCs w:val="16"/>
                        <w:lang w:eastAsia="ru-RU"/>
                      </w:rPr>
                      <w:t>РЕЗУЛЬТАТЫ АНАЛИЗА</w:t>
                    </w:r>
                  </w:p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</w:p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</w:p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  <w:r w:rsidRPr="009F15BF"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  <w:t>РЕЗУЛЬТАТЫ АНАЛИЗА</w:t>
                    </w:r>
                  </w:p>
                </w:txbxContent>
              </v:textbox>
            </v:roundrect>
            <v:roundrect id="_s1098" o:spid="_x0000_s1098" style="position:absolute;left:5457;top:10274;width:2160;height:719;v-text-anchor:middle" arcsize="10923f" o:dgmlayout="2" o:dgmnodekind="0" filled="f" fillcolor="silver" strokeweight="6pt">
              <v:stroke linestyle="thickBetweenThin"/>
              <v:textbox style="mso-next-textbox:#_s1098" inset="0,0,0,0">
                <w:txbxContent>
                  <w:p w:rsidR="009F15BF" w:rsidRPr="009F15BF" w:rsidRDefault="009F15BF" w:rsidP="009F15BF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/>
                        <w:sz w:val="13"/>
                        <w:szCs w:val="16"/>
                        <w:lang w:eastAsia="ru-RU"/>
                      </w:rPr>
                    </w:pPr>
                    <w:r w:rsidRPr="009F15BF">
                      <w:rPr>
                        <w:rFonts w:ascii="Arial" w:eastAsia="Times New Roman" w:hAnsi="Arial" w:cs="Arial"/>
                        <w:b/>
                        <w:sz w:val="13"/>
                        <w:szCs w:val="16"/>
                        <w:lang w:eastAsia="ru-RU"/>
                      </w:rPr>
                      <w:t>РЕЗУЛЬТАТЫ ПРОГНОЗА</w:t>
                    </w:r>
                  </w:p>
                  <w:p w:rsidR="009F15BF" w:rsidRPr="009F15BF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3"/>
                        <w:szCs w:val="16"/>
                      </w:rPr>
                    </w:pPr>
                  </w:p>
                </w:txbxContent>
              </v:textbox>
            </v:roundrect>
            <v:roundrect id="_x0000_s1099" style="position:absolute;left:4452;top:6907;width:2552;height:897;v-text-anchor:middle" arcsize="10923f" o:dgmlayout="2" o:dgmnodekind="0" filled="f" fillcolor="#bbe0e3">
              <v:textbox style="mso-next-textbox:#_x0000_s1099" inset="0,0,0,0">
                <w:txbxContent>
                  <w:p w:rsidR="009F15BF" w:rsidRPr="004969EE" w:rsidRDefault="009F15BF" w:rsidP="009F15BF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Модуль у</w:t>
                    </w:r>
                    <w:r w:rsidRPr="004969E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правлени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я</w:t>
                    </w:r>
                    <w:r w:rsidRPr="004969E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самообучающимися </w:t>
                    </w:r>
                    <w:r w:rsidRPr="004969E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статистическими и нейронными алгоритмами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и модификации данных</w:t>
                    </w:r>
                  </w:p>
                </w:txbxContent>
              </v:textbox>
            </v:roundrect>
            <v:line id="_x0000_s1100" style="position:absolute;flip:y" from="5427,7804" to="5457,8094" strokeweight="3pt">
              <v:stroke endarrow="block" linestyle="thinThin"/>
            </v:line>
            <v:line id="_x0000_s1101" style="position:absolute;flip:x" from="3282,7435" to="4452,7566" strokeweight="3pt">
              <v:stroke endarrow="block" linestyle="thinThin"/>
            </v:line>
            <v:line id="_x0000_s1102" style="position:absolute;flip:x y" from="3282,6512" to="4452,7171" strokeweight="3pt">
              <v:stroke endarrow="block" linestyle="thinThin"/>
            </v:line>
            <v:line id="_x0000_s1103" style="position:absolute" from="6987,7435" to="8352,7566" strokeweight="3pt">
              <v:stroke endarrow="block" linestyle="thinThin"/>
            </v:line>
            <v:line id="_x0000_s1104" style="position:absolute;flip:y" from="6987,6512" to="8352,7039" strokeweight="3pt">
              <v:stroke endarrow="block" linestyle="thinThin"/>
            </v:line>
            <v:line id="_x0000_s1105" style="position:absolute;flip:y" from="2697,6644" to="2697,7039">
              <v:stroke endarrow="block"/>
            </v:line>
            <v:line id="_x0000_s1106" style="position:absolute;flip:y" from="8937,6644" to="8937,7039">
              <v:stroke endarrow="block"/>
            </v:line>
            <v:line id="_x0000_s1107" style="position:absolute;flip:y" from="5818,5589" to="5819,6907" strokeweight="3pt">
              <v:stroke endarrow="block" linestyle="thinThin"/>
            </v:line>
            <v:line id="_x0000_s1108" style="position:absolute" from="2112,7804" to="2113,8489" strokeweight="2.25pt"/>
            <v:line id="_x0000_s1109" style="position:absolute" from="2112,8489" to="4062,8489" strokeweight="2.25pt"/>
            <w10:wrap type="none"/>
            <w10:anchorlock/>
          </v:group>
        </w:pict>
      </w:r>
    </w:p>
    <w:p w:rsidR="00FC4BF9" w:rsidRDefault="00FC4BF9" w:rsidP="00FC4BF9">
      <w:pPr>
        <w:spacing w:after="0" w:line="24" w:lineRule="atLeast"/>
        <w:ind w:left="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BF9" w:rsidRDefault="00FC4BF9" w:rsidP="00FC4BF9">
      <w:pPr>
        <w:spacing w:after="0" w:line="24" w:lineRule="atLeast"/>
        <w:ind w:left="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BF9" w:rsidRDefault="009F15BF" w:rsidP="00FC4BF9">
      <w:pPr>
        <w:spacing w:after="0" w:line="24" w:lineRule="atLeast"/>
        <w:ind w:left="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</w:t>
      </w:r>
    </w:p>
    <w:p w:rsidR="00FC4BF9" w:rsidRDefault="00FC4BF9" w:rsidP="00FC4BF9">
      <w:pPr>
        <w:spacing w:after="0" w:line="24" w:lineRule="atLeast"/>
        <w:ind w:left="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C4BF9" w:rsidSect="00D77652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0C" w:rsidRDefault="004C770C">
      <w:pPr>
        <w:spacing w:after="0" w:line="240" w:lineRule="auto"/>
      </w:pPr>
      <w:r>
        <w:separator/>
      </w:r>
    </w:p>
  </w:endnote>
  <w:endnote w:type="continuationSeparator" w:id="0">
    <w:p w:rsidR="004C770C" w:rsidRDefault="004C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D1" w:rsidRDefault="009F15BF" w:rsidP="00D7765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20D1" w:rsidRDefault="004C770C" w:rsidP="00D7765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D1" w:rsidRDefault="009F15BF" w:rsidP="00D7765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30A6">
      <w:rPr>
        <w:rStyle w:val="a5"/>
        <w:noProof/>
      </w:rPr>
      <w:t>1</w:t>
    </w:r>
    <w:r>
      <w:rPr>
        <w:rStyle w:val="a5"/>
      </w:rPr>
      <w:fldChar w:fldCharType="end"/>
    </w:r>
  </w:p>
  <w:p w:rsidR="000120D1" w:rsidRDefault="004C770C" w:rsidP="00D7765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0C" w:rsidRDefault="004C770C">
      <w:pPr>
        <w:spacing w:after="0" w:line="240" w:lineRule="auto"/>
      </w:pPr>
      <w:r>
        <w:separator/>
      </w:r>
    </w:p>
  </w:footnote>
  <w:footnote w:type="continuationSeparator" w:id="0">
    <w:p w:rsidR="004C770C" w:rsidRDefault="004C7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F9"/>
    <w:rsid w:val="004C770C"/>
    <w:rsid w:val="00684813"/>
    <w:rsid w:val="006B30A6"/>
    <w:rsid w:val="009F15BF"/>
    <w:rsid w:val="00FC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1" type="connector" idref="#_s1079">
          <o:proxy start="" idref="#_s1089" connectloc="1"/>
          <o:proxy end="" idref="#_s1084" connectloc="2"/>
        </o:r>
        <o:r id="V:Rule2" type="connector" idref="#_s1076">
          <o:proxy start="" idref="#_s1092" connectloc="0"/>
          <o:proxy end="" idref="#_s1086" connectloc="2"/>
        </o:r>
        <o:r id="V:Rule3" type="connector" idref="#_s1083">
          <o:proxy start="" idref="#_s1085" connectloc="0"/>
          <o:proxy end="" idref="#_s1084" connectloc="2"/>
        </o:r>
        <o:r id="V:Rule4" type="connector" idref="#_s1075">
          <o:proxy start="" idref="#_s1093" connectloc="0"/>
          <o:proxy end="" idref="#_s1087" connectloc="2"/>
        </o:r>
        <o:r id="V:Rule5" type="connector" idref="#_s1077">
          <o:proxy start="" idref="#_s1091" connectloc="1"/>
          <o:proxy end="" idref="#_s1084" connectloc="2"/>
        </o:r>
        <o:r id="V:Rule6" type="connector" idref="#_s1070">
          <o:proxy start="" idref="#_s1098" connectloc="3"/>
          <o:proxy end="" idref="#_s1096" connectloc="2"/>
        </o:r>
        <o:r id="V:Rule7" type="connector" idref="#_s1078">
          <o:proxy start="" idref="#_s1090" connectloc="3"/>
          <o:proxy end="" idref="#_s1084" connectloc="2"/>
        </o:r>
        <o:r id="V:Rule8" type="connector" idref="#_s1072">
          <o:proxy start="" idref="#_s1096" connectloc="1"/>
          <o:proxy end="" idref="#_s1094" connectloc="2"/>
        </o:r>
        <o:r id="V:Rule9" type="connector" idref="#_s1071">
          <o:proxy start="" idref="#_s1097" connectloc="3"/>
          <o:proxy end="" idref="#_s1095" connectloc="2"/>
        </o:r>
        <o:r id="V:Rule10" type="connector" idref="#_s1080">
          <o:proxy start="" idref="#_s1088" connectloc="3"/>
          <o:proxy end="" idref="#_s1084" connectloc="2"/>
        </o:r>
        <o:r id="V:Rule11" type="connector" idref="#_s1073">
          <o:proxy start="" idref="#_s1095" connectloc="3"/>
          <o:proxy end="" idref="#_s1094" connectloc="2"/>
        </o:r>
        <o:r id="V:Rule12" type="connector" idref="#_s1082">
          <o:proxy start="" idref="#_s1086" connectloc="0"/>
          <o:proxy end="" idref="#_s1085" connectloc="2"/>
        </o:r>
        <o:r id="V:Rule13" type="connector" idref="#_s1074">
          <o:proxy start="" idref="#_s1094" connectloc="3"/>
          <o:proxy end="" idref="#_s1093" connectloc="2"/>
        </o:r>
        <o:r id="V:Rule14" type="connector" idref="#_s1081">
          <o:proxy start="" idref="#_s1087" connectloc="0"/>
          <o:proxy end="" idref="#_s1085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C4BF9"/>
  </w:style>
  <w:style w:type="character" w:styleId="a5">
    <w:name w:val="page number"/>
    <w:basedOn w:val="a0"/>
    <w:rsid w:val="00FC4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C4BF9"/>
  </w:style>
  <w:style w:type="character" w:styleId="a5">
    <w:name w:val="page number"/>
    <w:basedOn w:val="a0"/>
    <w:rsid w:val="00FC4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virkun@ip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ver6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2011-06-30T16:08:00Z</dcterms:created>
  <dcterms:modified xsi:type="dcterms:W3CDTF">2011-06-30T16:22:00Z</dcterms:modified>
</cp:coreProperties>
</file>